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s>
        <w:rPr>
          <w:sz w:val="22"/>
        </w:rPr>
      </w:pPr>
      <w:bookmarkStart w:id="0" w:name="_Ref494746248"/>
      <w:r>
        <w:rPr>
          <w:rFonts w:ascii="Arial" w:hAnsi="Arial" w:cs="Arial"/>
          <w:b/>
          <w:sz w:val="22"/>
        </w:rPr>
        <w:t>3GPP TSG RAN WG1 #10</w:t>
      </w:r>
      <w:r>
        <w:rPr>
          <w:rFonts w:hint="eastAsia" w:ascii="Arial" w:hAnsi="Arial" w:cs="Arial"/>
          <w:b/>
          <w:sz w:val="22"/>
        </w:rPr>
        <w:t>6b</w:t>
      </w:r>
      <w:r>
        <w:rPr>
          <w:rFonts w:ascii="Arial" w:hAnsi="Arial" w:cs="Arial"/>
          <w:b/>
          <w:sz w:val="22"/>
        </w:rPr>
        <w:t>-e</w:t>
      </w:r>
      <w:r>
        <w:rPr>
          <w:rFonts w:ascii="Arial" w:hAnsi="Arial" w:cs="Arial"/>
          <w:b/>
          <w:sz w:val="22"/>
        </w:rPr>
        <w:tab/>
      </w:r>
      <w:r>
        <w:rPr>
          <w:rFonts w:ascii="Arial" w:hAnsi="Arial" w:cs="Arial"/>
          <w:b/>
          <w:sz w:val="22"/>
        </w:rPr>
        <w:t>R1-210</w:t>
      </w:r>
      <w:r>
        <w:rPr>
          <w:rFonts w:hint="eastAsia" w:ascii="Arial" w:hAnsi="Arial" w:cs="Arial"/>
          <w:b/>
          <w:sz w:val="22"/>
        </w:rPr>
        <w:t>8851</w:t>
      </w:r>
    </w:p>
    <w:p>
      <w:pPr>
        <w:tabs>
          <w:tab w:val="right" w:pos="9630"/>
        </w:tabs>
        <w:rPr>
          <w:rFonts w:ascii="Arial" w:hAnsi="Arial" w:eastAsia="宋体" w:cs="Arial"/>
          <w:b/>
          <w:sz w:val="22"/>
          <w:lang w:eastAsia="ja-JP"/>
        </w:rPr>
      </w:pPr>
      <w:r>
        <w:rPr>
          <w:rFonts w:hint="eastAsia" w:ascii="Arial" w:hAnsi="Arial" w:eastAsia="宋体" w:cs="Arial"/>
          <w:b/>
          <w:sz w:val="22"/>
          <w:lang w:eastAsia="ja-JP"/>
        </w:rPr>
        <w:t>e-Meeting, October 11</w:t>
      </w:r>
      <w:r>
        <w:rPr>
          <w:rFonts w:hint="eastAsia" w:ascii="Arial" w:hAnsi="Arial" w:eastAsia="宋体" w:cs="Arial"/>
          <w:b/>
          <w:sz w:val="22"/>
          <w:vertAlign w:val="superscript"/>
          <w:lang w:eastAsia="ja-JP"/>
        </w:rPr>
        <w:t>th</w:t>
      </w:r>
      <w:r>
        <w:rPr>
          <w:rFonts w:hint="eastAsia" w:ascii="Arial" w:hAnsi="Arial" w:eastAsia="宋体" w:cs="Arial"/>
          <w:b/>
          <w:sz w:val="22"/>
          <w:lang w:eastAsia="ja-JP"/>
        </w:rPr>
        <w:t xml:space="preserve"> – 19</w:t>
      </w:r>
      <w:r>
        <w:rPr>
          <w:rFonts w:hint="eastAsia" w:ascii="Arial" w:hAnsi="Arial" w:eastAsia="宋体" w:cs="Arial"/>
          <w:b/>
          <w:sz w:val="22"/>
          <w:vertAlign w:val="superscript"/>
          <w:lang w:eastAsia="ja-JP"/>
        </w:rPr>
        <w:t>th</w:t>
      </w:r>
      <w:r>
        <w:rPr>
          <w:rFonts w:hint="eastAsia" w:ascii="Arial" w:hAnsi="Arial" w:eastAsia="宋体" w:cs="Arial"/>
          <w:b/>
          <w:sz w:val="22"/>
          <w:lang w:eastAsia="ja-JP"/>
        </w:rPr>
        <w:t>, 2021</w:t>
      </w:r>
    </w:p>
    <w:p>
      <w:pPr>
        <w:pStyle w:val="37"/>
        <w:jc w:val="both"/>
      </w:pPr>
    </w:p>
    <w:p>
      <w:pPr>
        <w:tabs>
          <w:tab w:val="left" w:pos="1985"/>
        </w:tabs>
        <w:rPr>
          <w:rFonts w:ascii="Arial" w:hAnsi="Arial"/>
          <w:b/>
        </w:rPr>
      </w:pPr>
      <w:r>
        <w:rPr>
          <w:rFonts w:ascii="Arial" w:hAnsi="Arial"/>
          <w:b/>
        </w:rPr>
        <w:t xml:space="preserve">Source: </w:t>
      </w:r>
      <w:r>
        <w:rPr>
          <w:rFonts w:ascii="Arial" w:hAnsi="Arial"/>
          <w:b/>
        </w:rPr>
        <w:tab/>
      </w:r>
      <w:r>
        <w:rPr>
          <w:rFonts w:ascii="Arial" w:hAnsi="Arial"/>
          <w:b/>
        </w:rPr>
        <w:t>ZTE</w:t>
      </w:r>
    </w:p>
    <w:p>
      <w:pPr>
        <w:ind w:left="1988" w:hanging="1988"/>
        <w:rPr>
          <w:rFonts w:ascii="Arial" w:hAnsi="Arial"/>
          <w:b/>
        </w:rPr>
      </w:pPr>
      <w:r>
        <w:rPr>
          <w:rFonts w:ascii="Arial" w:hAnsi="Arial"/>
          <w:b/>
        </w:rPr>
        <w:t xml:space="preserve">Title: </w:t>
      </w:r>
      <w:r>
        <w:rPr>
          <w:rFonts w:ascii="Arial" w:hAnsi="Arial"/>
          <w:b/>
        </w:rPr>
        <w:tab/>
      </w:r>
      <w:r>
        <w:rPr>
          <w:rFonts w:ascii="Arial" w:hAnsi="Arial"/>
          <w:b/>
        </w:rPr>
        <w:t>Discussion on mechanisms to Support Group Scheduling for RRC_CONNECTED UEs</w:t>
      </w:r>
    </w:p>
    <w:p>
      <w:pPr>
        <w:tabs>
          <w:tab w:val="left" w:pos="1985"/>
        </w:tabs>
        <w:rPr>
          <w:rFonts w:ascii="Arial" w:hAnsi="Arial"/>
          <w:b/>
        </w:rPr>
      </w:pPr>
      <w:r>
        <w:rPr>
          <w:rFonts w:ascii="Arial" w:hAnsi="Arial"/>
          <w:b/>
        </w:rPr>
        <w:t>Agenda item:</w:t>
      </w:r>
      <w:r>
        <w:rPr>
          <w:rFonts w:ascii="Arial" w:hAnsi="Arial"/>
          <w:b/>
        </w:rPr>
        <w:tab/>
      </w:r>
      <w:r>
        <w:rPr>
          <w:rFonts w:ascii="Arial" w:hAnsi="Arial"/>
          <w:b/>
        </w:rPr>
        <w:t>8.12.1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pacing w:after="180"/>
        <w:rPr>
          <w:rFonts w:ascii="Times New Roman" w:hAnsi="Times New Roman" w:cs="Times New Roman"/>
          <w:sz w:val="20"/>
          <w:szCs w:val="21"/>
          <w:lang w:val="en-GB"/>
        </w:rPr>
      </w:pPr>
      <w:r>
        <w:rPr>
          <w:rFonts w:ascii="Times New Roman" w:hAnsi="Times New Roman" w:cs="Times New Roman"/>
          <w:sz w:val="20"/>
          <w:szCs w:val="21"/>
          <w:lang w:val="en-GB"/>
        </w:rPr>
        <w:t>During RAN#88-e meeting, the revised WI on NR MBS has been approved [1]. One of its objectives is to</w:t>
      </w:r>
      <w:r>
        <w:rPr>
          <w:rFonts w:ascii="Times New Roman" w:hAnsi="Times New Roman" w:cs="Times New Roman"/>
          <w:sz w:val="20"/>
          <w:szCs w:val="21"/>
        </w:rPr>
        <w:t xml:space="preserve"> </w:t>
      </w:r>
      <w:r>
        <w:rPr>
          <w:rFonts w:ascii="Times New Roman" w:hAnsi="Times New Roman" w:cs="Times New Roman"/>
          <w:sz w:val="20"/>
          <w:szCs w:val="21"/>
          <w:lang w:val="en-GB"/>
        </w:rPr>
        <w:t>specify a group scheduling mechanism to allow UEs to receive Broadcast/Multicast service for RRC_CONNECTED UEs.</w:t>
      </w:r>
    </w:p>
    <w:p>
      <w:pPr>
        <w:spacing w:after="180"/>
        <w:rPr>
          <w:rFonts w:ascii="Times New Roman" w:hAnsi="Times New Roman" w:cs="Times New Roman"/>
          <w:sz w:val="20"/>
          <w:szCs w:val="21"/>
          <w:lang w:val="en-GB"/>
        </w:rPr>
      </w:pPr>
      <w:r>
        <w:rPr>
          <w:rFonts w:ascii="Times New Roman" w:hAnsi="Times New Roman" w:cs="Times New Roman"/>
          <w:sz w:val="20"/>
          <w:szCs w:val="21"/>
        </w:rPr>
        <w:t>In RAN1#10</w:t>
      </w:r>
      <w:r>
        <w:rPr>
          <w:rFonts w:hint="eastAsia" w:ascii="Times New Roman" w:hAnsi="Times New Roman" w:cs="Times New Roman"/>
          <w:sz w:val="20"/>
          <w:szCs w:val="21"/>
        </w:rPr>
        <w:t>6</w:t>
      </w:r>
      <w:r>
        <w:rPr>
          <w:rFonts w:ascii="Times New Roman" w:hAnsi="Times New Roman" w:cs="Times New Roman"/>
          <w:sz w:val="20"/>
          <w:szCs w:val="21"/>
        </w:rPr>
        <w:t xml:space="preserve">-e meeting, some main issues about group scheduling mechanism for MBS transmission were further discussed, and some agreements and </w:t>
      </w:r>
      <w:r>
        <w:rPr>
          <w:rFonts w:hint="eastAsia" w:ascii="Times New Roman" w:hAnsi="Times New Roman" w:cs="Times New Roman"/>
          <w:sz w:val="20"/>
          <w:szCs w:val="21"/>
        </w:rPr>
        <w:t>conclusion</w:t>
      </w:r>
      <w:r>
        <w:rPr>
          <w:rFonts w:ascii="Times New Roman" w:hAnsi="Times New Roman" w:cs="Times New Roman"/>
          <w:sz w:val="20"/>
          <w:szCs w:val="21"/>
        </w:rPr>
        <w:t xml:space="preserve"> were made [2]. </w:t>
      </w:r>
      <w:r>
        <w:rPr>
          <w:rFonts w:ascii="Times New Roman" w:hAnsi="Times New Roman" w:cs="Times New Roman"/>
          <w:sz w:val="20"/>
          <w:szCs w:val="21"/>
          <w:lang w:val="en-GB"/>
        </w:rPr>
        <w:t xml:space="preserve">In this contribution, we focus on </w:t>
      </w:r>
      <w:r>
        <w:rPr>
          <w:rFonts w:hint="eastAsia" w:ascii="Times New Roman" w:hAnsi="Times New Roman" w:cs="Times New Roman"/>
          <w:sz w:val="20"/>
          <w:szCs w:val="21"/>
        </w:rPr>
        <w:t xml:space="preserve">remaining </w:t>
      </w:r>
      <w:r>
        <w:rPr>
          <w:rFonts w:ascii="Times New Roman" w:hAnsi="Times New Roman" w:cs="Times New Roman"/>
          <w:sz w:val="20"/>
          <w:szCs w:val="21"/>
        </w:rPr>
        <w:t xml:space="preserve">details of </w:t>
      </w:r>
      <w:r>
        <w:rPr>
          <w:rFonts w:ascii="Times New Roman" w:hAnsi="Times New Roman" w:cs="Times New Roman"/>
          <w:sz w:val="20"/>
          <w:szCs w:val="21"/>
          <w:lang w:val="en-GB"/>
        </w:rPr>
        <w:t>mechanism to allow UEs</w:t>
      </w:r>
      <w:r>
        <w:rPr>
          <w:rFonts w:ascii="Times New Roman" w:hAnsi="Times New Roman" w:cs="Times New Roman"/>
          <w:sz w:val="20"/>
          <w:szCs w:val="21"/>
        </w:rPr>
        <w:t xml:space="preserve"> in RRC_CONNECTED</w:t>
      </w:r>
      <w:r>
        <w:rPr>
          <w:rFonts w:ascii="Times New Roman" w:hAnsi="Times New Roman" w:cs="Times New Roman"/>
          <w:sz w:val="20"/>
          <w:szCs w:val="21"/>
          <w:lang w:val="en-GB"/>
        </w:rPr>
        <w:t xml:space="preserve"> to receive Broadcast/Multicast service. </w:t>
      </w:r>
    </w:p>
    <w:p>
      <w:pPr>
        <w:pStyle w:val="2"/>
      </w:pPr>
      <w:r>
        <w:rPr>
          <w:rFonts w:hint="eastAsia"/>
          <w:lang w:eastAsia="zh-CN"/>
        </w:rPr>
        <w:t>Common frequency resource</w:t>
      </w:r>
    </w:p>
    <w:p>
      <w:pPr>
        <w:spacing w:after="180"/>
        <w:rPr>
          <w:rFonts w:ascii="Times New Roman" w:hAnsi="Times New Roman" w:cs="Times New Roman"/>
          <w:sz w:val="20"/>
          <w:szCs w:val="20"/>
        </w:rPr>
      </w:pPr>
      <w:r>
        <w:rPr>
          <w:rFonts w:ascii="Times New Roman" w:hAnsi="Times New Roman" w:cs="Times New Roman"/>
          <w:sz w:val="20"/>
          <w:szCs w:val="20"/>
        </w:rPr>
        <w:t xml:space="preserve">During the discussion in previous RAN1 e-meetings, the following working assumption and agreements on CFR were made. Some remaining issues will be discussed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r>
              <w:rPr>
                <w:rFonts w:ascii="Times New Roman" w:hAnsi="Times New Roman" w:cs="Times New Roman"/>
                <w:sz w:val="18"/>
                <w:szCs w:val="20"/>
              </w:rPr>
              <w:t xml:space="preserve"> in RAN1#104-e</w:t>
            </w:r>
          </w:p>
          <w:p>
            <w:pPr>
              <w:pStyle w:val="114"/>
              <w:numPr>
                <w:ilvl w:val="0"/>
                <w:numId w:val="10"/>
              </w:numPr>
              <w:spacing w:before="0" w:after="0" w:line="240" w:lineRule="auto"/>
              <w:ind w:hanging="363"/>
              <w:jc w:val="left"/>
              <w:rPr>
                <w:rFonts w:ascii="Times New Roman" w:hAnsi="Times New Roman" w:eastAsia="Times New Roman" w:cs="Times New Roman"/>
                <w:sz w:val="18"/>
                <w:szCs w:val="20"/>
              </w:rPr>
            </w:pPr>
            <w:r>
              <w:rPr>
                <w:rFonts w:ascii="Times New Roman" w:hAnsi="Times New Roman" w:eastAsia="Times New Roman" w:cs="Times New Roman"/>
                <w:sz w:val="18"/>
                <w:szCs w:val="20"/>
              </w:rPr>
              <w:t>If Option 2B is supported for common frequency resource for multicast of RRC-CONNECTED UEs, the starting PRB and the length of PRBs of the MBS frequency region within a dedicated unicast BWP are configured via UE-specific RRC signaling.</w:t>
            </w:r>
          </w:p>
          <w:p>
            <w:pPr>
              <w:pStyle w:val="114"/>
              <w:numPr>
                <w:ilvl w:val="1"/>
                <w:numId w:val="10"/>
              </w:numPr>
              <w:spacing w:before="0" w:after="0" w:line="240" w:lineRule="auto"/>
              <w:ind w:hanging="363"/>
              <w:jc w:val="left"/>
              <w:rPr>
                <w:rFonts w:ascii="Times New Roman" w:hAnsi="Times New Roman" w:eastAsia="Times New Roman" w:cs="Times New Roman"/>
                <w:sz w:val="18"/>
                <w:szCs w:val="20"/>
              </w:rPr>
            </w:pPr>
            <w:bookmarkStart w:id="3" w:name="OLE_LINK22"/>
            <w:r>
              <w:rPr>
                <w:rFonts w:ascii="Times New Roman" w:hAnsi="Times New Roman" w:cs="Times New Roman"/>
                <w:sz w:val="18"/>
                <w:szCs w:val="20"/>
              </w:rPr>
              <w:t>The starting PRB is referenced to</w:t>
            </w:r>
            <w:bookmarkEnd w:id="3"/>
            <w:r>
              <w:rPr>
                <w:rFonts w:ascii="Times New Roman" w:hAnsi="Times New Roman" w:cs="Times New Roman"/>
                <w:sz w:val="18"/>
                <w:szCs w:val="20"/>
              </w:rPr>
              <w:t xml:space="preserve"> one of the two options:</w:t>
            </w:r>
          </w:p>
          <w:p>
            <w:pPr>
              <w:pStyle w:val="114"/>
              <w:numPr>
                <w:ilvl w:val="2"/>
                <w:numId w:val="10"/>
              </w:numPr>
              <w:spacing w:before="0" w:after="0" w:line="240" w:lineRule="auto"/>
              <w:ind w:hanging="363"/>
              <w:jc w:val="left"/>
              <w:rPr>
                <w:rFonts w:ascii="Times New Roman" w:hAnsi="Times New Roman" w:eastAsia="Times New Roman" w:cs="Times New Roman"/>
                <w:sz w:val="18"/>
                <w:szCs w:val="20"/>
              </w:rPr>
            </w:pPr>
            <w:r>
              <w:rPr>
                <w:rFonts w:ascii="Times New Roman" w:hAnsi="Times New Roman" w:eastAsia="Times New Roman" w:cs="Times New Roman"/>
                <w:sz w:val="18"/>
                <w:szCs w:val="20"/>
              </w:rPr>
              <w:t>Option 1: Point A</w:t>
            </w:r>
          </w:p>
          <w:p>
            <w:pPr>
              <w:pStyle w:val="114"/>
              <w:numPr>
                <w:ilvl w:val="2"/>
                <w:numId w:val="10"/>
              </w:numPr>
              <w:spacing w:before="0" w:after="0" w:line="240" w:lineRule="auto"/>
              <w:ind w:hanging="363"/>
              <w:jc w:val="left"/>
              <w:rPr>
                <w:rFonts w:ascii="Times New Roman" w:hAnsi="Times New Roman" w:eastAsia="Times New Roman" w:cs="Times New Roman"/>
                <w:sz w:val="18"/>
                <w:szCs w:val="20"/>
              </w:rPr>
            </w:pPr>
            <w:r>
              <w:rPr>
                <w:rFonts w:ascii="Times New Roman" w:hAnsi="Times New Roman" w:eastAsia="Times New Roman" w:cs="Times New Roman"/>
                <w:sz w:val="18"/>
                <w:szCs w:val="20"/>
              </w:rPr>
              <w:t>Option 2: the starting PRB of the dedicated unicast BWP</w:t>
            </w:r>
          </w:p>
          <w:p>
            <w:pPr>
              <w:pStyle w:val="114"/>
              <w:numPr>
                <w:ilvl w:val="1"/>
                <w:numId w:val="10"/>
              </w:numPr>
              <w:spacing w:before="0" w:after="0" w:line="240" w:lineRule="auto"/>
              <w:ind w:hanging="363"/>
              <w:jc w:val="left"/>
              <w:rPr>
                <w:rFonts w:ascii="Times New Roman" w:hAnsi="Times New Roman" w:cs="Times New Roman"/>
                <w:sz w:val="18"/>
                <w:szCs w:val="20"/>
              </w:rPr>
            </w:pPr>
            <w:r>
              <w:rPr>
                <w:rFonts w:ascii="Times New Roman" w:hAnsi="Times New Roman" w:cs="Times New Roman"/>
                <w:sz w:val="18"/>
                <w:szCs w:val="20"/>
              </w:rPr>
              <w:t>FFS the detailed signaling</w:t>
            </w:r>
          </w:p>
          <w:p>
            <w:pPr>
              <w:pStyle w:val="114"/>
              <w:numPr>
                <w:ilvl w:val="0"/>
                <w:numId w:val="10"/>
              </w:numPr>
              <w:spacing w:before="0" w:after="0" w:line="240" w:lineRule="auto"/>
              <w:ind w:hanging="363"/>
              <w:jc w:val="left"/>
              <w:rPr>
                <w:rFonts w:ascii="Times New Roman" w:hAnsi="Times New Roman" w:eastAsia="Times New Roman" w:cs="Times New Roman"/>
                <w:sz w:val="18"/>
                <w:szCs w:val="20"/>
              </w:rPr>
            </w:pPr>
            <w:r>
              <w:rPr>
                <w:rFonts w:ascii="Times New Roman" w:hAnsi="Times New Roman" w:eastAsia="Times New Roman" w:cs="Times New Roman"/>
                <w:sz w:val="18"/>
                <w:szCs w:val="20"/>
              </w:rPr>
              <w:t>If Option 2A is supported for common frequency resource for multicast of RRC-CONNECTED UEs, the configurations of the starting PRB and the length of PRBs of the MBS frequency resource reuse the legacy BWP configuration.</w:t>
            </w:r>
          </w:p>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r>
              <w:rPr>
                <w:rFonts w:ascii="Times New Roman" w:hAnsi="Times New Roman" w:cs="Times New Roman"/>
                <w:sz w:val="18"/>
                <w:szCs w:val="20"/>
              </w:rPr>
              <w:t xml:space="preserve"> in RAN1#104b-e</w:t>
            </w:r>
          </w:p>
          <w:p>
            <w:pPr>
              <w:spacing w:before="0" w:line="240" w:lineRule="auto"/>
              <w:rPr>
                <w:rFonts w:ascii="Times New Roman" w:hAnsi="Times New Roman" w:cs="Times New Roman"/>
                <w:sz w:val="18"/>
                <w:szCs w:val="20"/>
              </w:rPr>
            </w:pPr>
            <w:r>
              <w:rPr>
                <w:rFonts w:ascii="Times New Roman" w:hAnsi="Times New Roman" w:cs="Times New Roman"/>
                <w:sz w:val="18"/>
                <w:szCs w:val="20"/>
              </w:rPr>
              <w:t>One CFR is supported per dedicated unicast BWP for multicast of RRC-CONNECTED UEs.</w:t>
            </w:r>
          </w:p>
          <w:p>
            <w:pPr>
              <w:numPr>
                <w:ilvl w:val="0"/>
                <w:numId w:val="11"/>
              </w:numPr>
              <w:spacing w:before="0" w:line="240" w:lineRule="auto"/>
              <w:jc w:val="left"/>
              <w:rPr>
                <w:rFonts w:ascii="Times New Roman" w:hAnsi="Times New Roman" w:cs="Times New Roman"/>
                <w:sz w:val="18"/>
                <w:szCs w:val="20"/>
              </w:rPr>
            </w:pPr>
            <w:r>
              <w:rPr>
                <w:rFonts w:ascii="Times New Roman" w:hAnsi="Times New Roman" w:cs="Times New Roman"/>
                <w:sz w:val="18"/>
                <w:szCs w:val="20"/>
              </w:rPr>
              <w:t>FFS: Whether more than one CFR is supported per dedicated unicast BWP</w:t>
            </w:r>
          </w:p>
          <w:p>
            <w:pPr>
              <w:numPr>
                <w:ilvl w:val="0"/>
                <w:numId w:val="11"/>
              </w:numPr>
              <w:spacing w:before="0" w:line="240" w:lineRule="auto"/>
              <w:jc w:val="left"/>
              <w:rPr>
                <w:rFonts w:ascii="Times New Roman" w:hAnsi="Times New Roman" w:cs="Times New Roman"/>
                <w:sz w:val="18"/>
                <w:szCs w:val="20"/>
              </w:rPr>
            </w:pPr>
            <w:r>
              <w:rPr>
                <w:rFonts w:ascii="Times New Roman" w:hAnsi="Times New Roman" w:cs="Times New Roman"/>
                <w:sz w:val="18"/>
                <w:szCs w:val="20"/>
              </w:rPr>
              <w:t>FFS: Whether multicast can be supported or not in a dedicated unicast BWP when no CFR is configured for that BWP</w:t>
            </w:r>
          </w:p>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r>
              <w:rPr>
                <w:rFonts w:ascii="Times New Roman" w:hAnsi="Times New Roman" w:cs="Times New Roman"/>
                <w:sz w:val="18"/>
                <w:szCs w:val="20"/>
              </w:rPr>
              <w:t xml:space="preserve"> in RAN1#10</w:t>
            </w:r>
            <w:r>
              <w:rPr>
                <w:rFonts w:hint="eastAsia" w:ascii="Times New Roman" w:hAnsi="Times New Roman" w:cs="Times New Roman"/>
                <w:sz w:val="18"/>
                <w:szCs w:val="20"/>
              </w:rPr>
              <w:t>6</w:t>
            </w:r>
            <w:r>
              <w:rPr>
                <w:rFonts w:ascii="Times New Roman" w:hAnsi="Times New Roman" w:cs="Times New Roman"/>
                <w:sz w:val="18"/>
                <w:szCs w:val="20"/>
              </w:rPr>
              <w:t>-e</w:t>
            </w:r>
          </w:p>
          <w:p>
            <w:pPr>
              <w:spacing w:before="0" w:line="240" w:lineRule="auto"/>
              <w:rPr>
                <w:rFonts w:ascii="Times New Roman" w:hAnsi="Times New Roman" w:cs="Times New Roman"/>
                <w:sz w:val="18"/>
                <w:szCs w:val="20"/>
              </w:rPr>
            </w:pPr>
            <w:r>
              <w:rPr>
                <w:rFonts w:ascii="Times New Roman" w:hAnsi="Times New Roman" w:cs="Times New Roman"/>
                <w:sz w:val="18"/>
                <w:szCs w:val="20"/>
              </w:rPr>
              <w:t>For indication of the starting PRB and the length of PRBs of CFR for multicast of RRC-CONNECTED UEs,</w:t>
            </w:r>
          </w:p>
          <w:p>
            <w:pPr>
              <w:numPr>
                <w:ilvl w:val="0"/>
                <w:numId w:val="12"/>
              </w:num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the starting PRB is referenced to Point A, i.e., the starting PRB is a PRB determined by </w:t>
            </w:r>
            <w:r>
              <w:rPr>
                <w:rFonts w:ascii="Times New Roman" w:hAnsi="Times New Roman" w:cs="Times New Roman"/>
                <w:i/>
                <w:iCs/>
                <w:sz w:val="18"/>
                <w:szCs w:val="20"/>
              </w:rPr>
              <w:t>subcarrierSpacing</w:t>
            </w:r>
            <w:r>
              <w:rPr>
                <w:rFonts w:ascii="Times New Roman" w:hAnsi="Times New Roman" w:cs="Times New Roman"/>
                <w:sz w:val="18"/>
                <w:szCs w:val="20"/>
              </w:rPr>
              <w:t xml:space="preserve"> of the associated BWP and </w:t>
            </w:r>
            <w:r>
              <w:rPr>
                <w:rFonts w:ascii="Times New Roman" w:hAnsi="Times New Roman" w:cs="Times New Roman"/>
                <w:i/>
                <w:iCs/>
                <w:sz w:val="18"/>
                <w:szCs w:val="20"/>
              </w:rPr>
              <w:t>offsetToCarrier</w:t>
            </w:r>
            <w:r>
              <w:rPr>
                <w:rFonts w:ascii="Times New Roman" w:hAnsi="Times New Roman" w:cs="Times New Roman"/>
                <w:sz w:val="18"/>
                <w:szCs w:val="20"/>
              </w:rPr>
              <w:t xml:space="preserve"> corresponding to this subcarrier spacing, similar as how </w:t>
            </w:r>
            <w:r>
              <w:rPr>
                <w:rFonts w:ascii="Times New Roman" w:hAnsi="Times New Roman" w:cs="Times New Roman"/>
                <w:i/>
                <w:iCs/>
                <w:sz w:val="18"/>
                <w:szCs w:val="20"/>
              </w:rPr>
              <w:t xml:space="preserve">locationAndBandwidth </w:t>
            </w:r>
            <w:r>
              <w:rPr>
                <w:rFonts w:ascii="Times New Roman" w:hAnsi="Times New Roman" w:cs="Times New Roman"/>
                <w:sz w:val="18"/>
                <w:szCs w:val="20"/>
              </w:rPr>
              <w:t>of a BWP</w:t>
            </w:r>
            <w:r>
              <w:rPr>
                <w:rFonts w:ascii="Times New Roman" w:hAnsi="Times New Roman" w:cs="Times New Roman"/>
                <w:i/>
                <w:iCs/>
                <w:sz w:val="18"/>
                <w:szCs w:val="20"/>
              </w:rPr>
              <w:t xml:space="preserve"> </w:t>
            </w:r>
            <w:r>
              <w:rPr>
                <w:rFonts w:ascii="Times New Roman" w:hAnsi="Times New Roman" w:cs="Times New Roman"/>
                <w:sz w:val="18"/>
                <w:szCs w:val="20"/>
              </w:rPr>
              <w:t>is indicated as described in TS 38.331.</w:t>
            </w:r>
          </w:p>
          <w:p>
            <w:pPr>
              <w:numPr>
                <w:ilvl w:val="0"/>
                <w:numId w:val="12"/>
              </w:numPr>
              <w:spacing w:before="0" w:line="240" w:lineRule="auto"/>
              <w:rPr>
                <w:rFonts w:ascii="Times New Roman" w:hAnsi="Times New Roman" w:cs="Times New Roman"/>
                <w:sz w:val="18"/>
                <w:szCs w:val="20"/>
              </w:rPr>
            </w:pPr>
            <w:r>
              <w:rPr>
                <w:rFonts w:ascii="Times New Roman" w:hAnsi="Times New Roman" w:cs="Times New Roman"/>
                <w:sz w:val="18"/>
                <w:szCs w:val="20"/>
              </w:rPr>
              <w:t>FFS: Indication mechanism.</w:t>
            </w:r>
          </w:p>
          <w:p>
            <w:pPr>
              <w:spacing w:before="0" w:line="240" w:lineRule="auto"/>
              <w:rPr>
                <w:rFonts w:ascii="Times New Roman" w:hAnsi="Times New Roman" w:cs="Times New Roman"/>
                <w:sz w:val="18"/>
                <w:szCs w:val="20"/>
              </w:rPr>
            </w:pPr>
          </w:p>
        </w:tc>
      </w:tr>
    </w:tbl>
    <w:p>
      <w:pPr>
        <w:spacing w:before="120" w:beforeLines="50"/>
        <w:rPr>
          <w:rFonts w:ascii="Times New Roman" w:hAnsi="Times New Roman" w:cs="Times New Roman"/>
          <w:b/>
          <w:bCs/>
          <w:sz w:val="20"/>
          <w:szCs w:val="20"/>
          <w:u w:val="single"/>
        </w:rPr>
      </w:pPr>
    </w:p>
    <w:p>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Indication mechanism of CFR</w:t>
      </w:r>
    </w:p>
    <w:p>
      <w:pPr>
        <w:spacing w:after="180"/>
        <w:rPr>
          <w:rFonts w:ascii="Times New Roman" w:hAnsi="Times New Roman" w:cs="Times New Roman"/>
          <w:sz w:val="20"/>
          <w:szCs w:val="20"/>
        </w:rPr>
      </w:pPr>
      <w:r>
        <w:rPr>
          <w:rFonts w:ascii="Times New Roman" w:hAnsi="Times New Roman" w:cs="Times New Roman"/>
          <w:sz w:val="20"/>
          <w:szCs w:val="20"/>
        </w:rPr>
        <w:t xml:space="preserve">Point A is agreed as a reference for configuration of the starting PRB of the CFR. One remaining issue is the indication mechanism. It is a same question on how to configure the frequency domain range of BWP, which was </w:t>
      </w:r>
      <w:r>
        <w:rPr>
          <w:rFonts w:hint="eastAsia" w:ascii="Times New Roman" w:hAnsi="Times New Roman" w:cs="Times New Roman"/>
          <w:sz w:val="20"/>
          <w:szCs w:val="20"/>
        </w:rPr>
        <w:t xml:space="preserve">well </w:t>
      </w:r>
      <w:r>
        <w:rPr>
          <w:rFonts w:ascii="Times New Roman" w:hAnsi="Times New Roman" w:cs="Times New Roman"/>
          <w:sz w:val="20"/>
          <w:szCs w:val="20"/>
        </w:rPr>
        <w:t xml:space="preserve">discussed </w:t>
      </w:r>
      <w:r>
        <w:rPr>
          <w:rFonts w:hint="eastAsia" w:ascii="Times New Roman" w:hAnsi="Times New Roman" w:cs="Times New Roman"/>
          <w:sz w:val="20"/>
          <w:szCs w:val="20"/>
        </w:rPr>
        <w:t xml:space="preserve">and determined </w:t>
      </w:r>
      <w:r>
        <w:rPr>
          <w:rFonts w:ascii="Times New Roman" w:hAnsi="Times New Roman" w:cs="Times New Roman"/>
          <w:sz w:val="20"/>
          <w:szCs w:val="20"/>
        </w:rPr>
        <w:t xml:space="preserve">before. So it is straightforward to reuse the configuration method of BWP, i.e., indicate starting PRB and bandwidth of CFR jointly. </w:t>
      </w:r>
      <w:r>
        <w:rPr>
          <w:rFonts w:ascii="Times New Roman" w:hAnsi="Times New Roman" w:cs="Times New Roman"/>
          <w:sz w:val="20"/>
          <w:szCs w:val="20"/>
          <w:lang w:eastAsia="sv-SE"/>
        </w:rPr>
        <w:t>The</w:t>
      </w:r>
      <w:bookmarkStart w:id="4" w:name="OLE_LINK9"/>
      <w:r>
        <w:rPr>
          <w:rFonts w:ascii="Times New Roman" w:hAnsi="Times New Roman" w:cs="Times New Roman"/>
          <w:sz w:val="20"/>
          <w:szCs w:val="20"/>
          <w:lang w:eastAsia="sv-SE"/>
        </w:rPr>
        <w:t xml:space="preserve"> value of the </w:t>
      </w:r>
      <w:r>
        <w:rPr>
          <w:rFonts w:hint="eastAsia" w:ascii="Times New Roman" w:hAnsi="Times New Roman" w:cs="Times New Roman"/>
          <w:sz w:val="20"/>
          <w:szCs w:val="20"/>
        </w:rPr>
        <w:t xml:space="preserve">indication </w:t>
      </w:r>
      <w:r>
        <w:rPr>
          <w:rFonts w:ascii="Times New Roman" w:hAnsi="Times New Roman" w:cs="Times New Roman"/>
          <w:sz w:val="20"/>
          <w:szCs w:val="20"/>
          <w:lang w:eastAsia="sv-SE"/>
        </w:rPr>
        <w:t>field shall be interpreted as resource indicator value (RIV) as defined TS 38.214</w:t>
      </w:r>
      <w:r>
        <w:rPr>
          <w:rFonts w:ascii="Times New Roman" w:hAnsi="Times New Roman" w:cs="Times New Roman"/>
          <w:sz w:val="20"/>
          <w:szCs w:val="20"/>
        </w:rPr>
        <w:t>.</w:t>
      </w:r>
      <w:bookmarkEnd w:id="4"/>
      <w:r>
        <w:rPr>
          <w:rFonts w:ascii="Times New Roman" w:hAnsi="Times New Roman" w:cs="Times New Roman"/>
          <w:sz w:val="20"/>
          <w:szCs w:val="20"/>
        </w:rPr>
        <w:t xml:space="preserve"> More specifically, </w:t>
      </w:r>
      <m:oMath>
        <m:sSubSup>
          <m:sSubSupPr>
            <m:ctrlPr>
              <w:rPr>
                <w:rFonts w:ascii="Cambria Math" w:hAnsi="Cambria Math" w:cs="Times New Roman"/>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w:rPr>
                <w:rFonts w:ascii="Cambria Math" w:hAnsi="Cambria Math" w:cs="Times New Roman"/>
                <w:sz w:val="20"/>
                <w:szCs w:val="20"/>
              </w:rPr>
              <m:t>BWP</m:t>
            </m:r>
            <m:ctrlPr>
              <w:rPr>
                <w:rFonts w:ascii="Cambria Math" w:hAnsi="Cambria Math" w:cs="Times New Roman"/>
                <w:sz w:val="20"/>
                <w:szCs w:val="20"/>
              </w:rPr>
            </m:ctrlPr>
          </m:sub>
          <m:sup>
            <m:r>
              <w:rPr>
                <w:rFonts w:ascii="Cambria Math" w:hAnsi="Cambria Math" w:cs="Times New Roman"/>
                <w:sz w:val="20"/>
                <w:szCs w:val="20"/>
              </w:rPr>
              <m:t>size</m:t>
            </m:r>
            <m:ctrlPr>
              <w:rPr>
                <w:rFonts w:ascii="Cambria Math" w:hAnsi="Cambria Math" w:cs="Times New Roman"/>
                <w:sz w:val="20"/>
                <w:szCs w:val="20"/>
              </w:rPr>
            </m:ctrlPr>
          </m:sup>
        </m:sSubSup>
      </m:oMath>
      <w:r>
        <w:rPr>
          <w:rFonts w:hint="eastAsia" w:ascii="Times New Roman" w:hAnsi="Times New Roman" w:cs="Times New Roman"/>
          <w:sz w:val="20"/>
          <w:szCs w:val="20"/>
        </w:rPr>
        <w:t xml:space="preserve"> </w:t>
      </w:r>
      <w:r>
        <w:rPr>
          <w:rFonts w:ascii="Times New Roman" w:hAnsi="Times New Roman" w:cs="Times New Roman"/>
          <w:sz w:val="20"/>
          <w:szCs w:val="20"/>
        </w:rPr>
        <w:t xml:space="preserve">is set to 275 to determine S and L to allow different UEs have the same understanding of the BWP size and thus calculate the same CFR size. </w:t>
      </w:r>
    </w:p>
    <w:p>
      <w:pPr>
        <w:pStyle w:val="114"/>
        <w:numPr>
          <w:ilvl w:val="0"/>
          <w:numId w:val="0"/>
        </w:numPr>
        <w:spacing w:after="180"/>
        <w:rPr>
          <w:rFonts w:ascii="Times New Roman" w:hAnsi="Times New Roman" w:cs="Times New Roman"/>
          <w:i/>
          <w:iCs/>
          <w:sz w:val="20"/>
          <w:szCs w:val="20"/>
          <w:lang w:val="en-US"/>
        </w:rPr>
      </w:pPr>
      <w:r>
        <w:rPr>
          <w:rFonts w:ascii="Times New Roman" w:hAnsi="Times New Roman" w:cs="Times New Roman"/>
          <w:b/>
          <w:i/>
          <w:iCs/>
          <w:sz w:val="20"/>
          <w:szCs w:val="20"/>
          <w:lang w:val="en-US"/>
        </w:rPr>
        <w:t>Proposal 1</w:t>
      </w:r>
      <w:r>
        <w:rPr>
          <w:rFonts w:ascii="Times New Roman" w:hAnsi="Times New Roman" w:cs="Times New Roman"/>
          <w:i/>
          <w:iCs/>
          <w:sz w:val="20"/>
          <w:szCs w:val="20"/>
          <w:lang w:val="en-US"/>
        </w:rPr>
        <w:t xml:space="preserve">: NR MBS supports the same RIV configuration method as BWP configuration to indicate frequency range of CFR and </w:t>
      </w:r>
      <m:oMath>
        <m:sSubSup>
          <m:sSubSupPr>
            <m:ctrlPr>
              <w:rPr>
                <w:rFonts w:ascii="Cambria Math" w:hAnsi="Cambria Math" w:cs="Times New Roman" w:eastAsiaTheme="minorEastAsia"/>
                <w:i/>
                <w:sz w:val="20"/>
                <w:szCs w:val="20"/>
                <w:lang w:val="en-US"/>
              </w:rPr>
            </m:ctrlPr>
          </m:sSubSupPr>
          <m:e>
            <m:r>
              <w:rPr>
                <w:rFonts w:ascii="Cambria Math" w:hAnsi="Cambria Math" w:cs="Times New Roman"/>
                <w:sz w:val="20"/>
                <w:szCs w:val="20"/>
              </w:rPr>
              <m:t>N</m:t>
            </m:r>
            <m:ctrlPr>
              <w:rPr>
                <w:rFonts w:ascii="Cambria Math" w:hAnsi="Cambria Math" w:cs="Times New Roman" w:eastAsiaTheme="minorEastAsia"/>
                <w:i/>
                <w:sz w:val="20"/>
                <w:szCs w:val="20"/>
                <w:lang w:val="en-US"/>
              </w:rPr>
            </m:ctrlPr>
          </m:e>
          <m:sub>
            <m:r>
              <w:rPr>
                <w:rFonts w:ascii="Cambria Math" w:hAnsi="Cambria Math" w:cs="Times New Roman"/>
                <w:sz w:val="20"/>
                <w:szCs w:val="20"/>
              </w:rPr>
              <m:t>BWP</m:t>
            </m:r>
            <m:ctrlPr>
              <w:rPr>
                <w:rFonts w:ascii="Cambria Math" w:hAnsi="Cambria Math" w:cs="Times New Roman" w:eastAsiaTheme="minorEastAsia"/>
                <w:i/>
                <w:sz w:val="20"/>
                <w:szCs w:val="20"/>
                <w:lang w:val="en-US"/>
              </w:rPr>
            </m:ctrlPr>
          </m:sub>
          <m:sup>
            <m:r>
              <w:rPr>
                <w:rFonts w:ascii="Cambria Math" w:hAnsi="Cambria Math" w:cs="Times New Roman"/>
                <w:sz w:val="20"/>
                <w:szCs w:val="20"/>
              </w:rPr>
              <m:t>size</m:t>
            </m:r>
            <m:ctrlPr>
              <w:rPr>
                <w:rFonts w:ascii="Cambria Math" w:hAnsi="Cambria Math" w:cs="Times New Roman" w:eastAsiaTheme="minorEastAsia"/>
                <w:i/>
                <w:sz w:val="20"/>
                <w:szCs w:val="20"/>
                <w:lang w:val="en-US"/>
              </w:rPr>
            </m:ctrlPr>
          </m:sup>
        </m:sSubSup>
      </m:oMath>
      <w:r>
        <w:rPr>
          <w:rFonts w:hint="eastAsia" w:ascii="Times New Roman" w:hAnsi="Times New Roman" w:cs="Times New Roman"/>
          <w:i/>
          <w:sz w:val="20"/>
          <w:szCs w:val="20"/>
        </w:rPr>
        <w:t xml:space="preserve"> </w:t>
      </w:r>
      <w:r>
        <w:rPr>
          <w:rFonts w:ascii="Times New Roman" w:hAnsi="Times New Roman" w:cs="Times New Roman"/>
          <w:i/>
          <w:sz w:val="20"/>
          <w:szCs w:val="20"/>
        </w:rPr>
        <w:t>is set to 275 to determine S and L for the CFR.</w:t>
      </w:r>
    </w:p>
    <w:p>
      <w:pPr>
        <w:spacing w:after="180"/>
        <w:rPr>
          <w:rFonts w:ascii="Times New Roman" w:hAnsi="Times New Roman" w:cs="Times New Roman"/>
          <w:sz w:val="20"/>
          <w:szCs w:val="20"/>
        </w:rPr>
      </w:pPr>
    </w:p>
    <w:p>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CFR associated with initial BWP</w:t>
      </w:r>
    </w:p>
    <w:p>
      <w:pPr>
        <w:spacing w:after="180"/>
        <w:rPr>
          <w:rFonts w:ascii="Times New Roman" w:hAnsi="Times New Roman" w:cs="Times New Roman"/>
          <w:sz w:val="20"/>
          <w:szCs w:val="20"/>
          <w:lang w:val="en-GB"/>
        </w:rPr>
      </w:pPr>
      <w:r>
        <w:rPr>
          <w:rFonts w:ascii="Times New Roman" w:hAnsi="Times New Roman" w:cs="Times New Roman"/>
          <w:sz w:val="20"/>
          <w:szCs w:val="20"/>
        </w:rPr>
        <w:t xml:space="preserve">As also discussed on CFR for broadcast transmission in RRC_IDLE/INACTIVE states, </w:t>
      </w:r>
      <w:r>
        <w:rPr>
          <w:rFonts w:ascii="Times New Roman" w:hAnsi="Times New Roman" w:cs="Times New Roman"/>
          <w:sz w:val="20"/>
          <w:szCs w:val="20"/>
          <w:lang w:val="en-GB"/>
        </w:rPr>
        <w:t xml:space="preserve">if </w:t>
      </w:r>
      <w:r>
        <w:rPr>
          <w:rFonts w:ascii="Times New Roman" w:hAnsi="Times New Roman" w:cs="Times New Roman"/>
          <w:sz w:val="20"/>
          <w:szCs w:val="20"/>
        </w:rPr>
        <w:t xml:space="preserve">broadcast transmission </w:t>
      </w:r>
      <w:r>
        <w:rPr>
          <w:rFonts w:ascii="Times New Roman" w:hAnsi="Times New Roman" w:cs="Times New Roman"/>
          <w:sz w:val="20"/>
          <w:szCs w:val="20"/>
          <w:lang w:val="en-GB"/>
        </w:rPr>
        <w:t>can only use the initial DL BWP defined by CORESET#0, it would be too restrictive. As we know, all the common signals/channels have to be squeezed into this initial DL BWP, which makes it difficult to accommodate common PDCCH/PDSCH for broadcast service</w:t>
      </w:r>
      <w:r>
        <w:rPr>
          <w:rFonts w:ascii="Times New Roman" w:hAnsi="Times New Roman" w:cs="Times New Roman"/>
          <w:sz w:val="20"/>
          <w:szCs w:val="20"/>
        </w:rPr>
        <w:t>s</w:t>
      </w:r>
      <w:r>
        <w:rPr>
          <w:rFonts w:ascii="Times New Roman" w:hAnsi="Times New Roman" w:cs="Times New Roman"/>
          <w:sz w:val="20"/>
          <w:szCs w:val="20"/>
          <w:lang w:val="en-GB"/>
        </w:rPr>
        <w:t>. Thus, it is critical to configure a common frequency resource that is larger</w:t>
      </w:r>
      <w:r>
        <w:rPr>
          <w:rFonts w:ascii="Times New Roman" w:hAnsi="Times New Roman" w:cs="Times New Roman"/>
          <w:sz w:val="20"/>
          <w:szCs w:val="20"/>
        </w:rPr>
        <w:t xml:space="preserve"> </w:t>
      </w:r>
      <w:r>
        <w:rPr>
          <w:rFonts w:ascii="Times New Roman" w:hAnsi="Times New Roman" w:cs="Times New Roman"/>
          <w:sz w:val="20"/>
          <w:szCs w:val="20"/>
          <w:lang w:val="en-GB"/>
        </w:rPr>
        <w:t>than CORESET#0 for broadcast service</w:t>
      </w:r>
      <w:r>
        <w:rPr>
          <w:rFonts w:ascii="Times New Roman" w:hAnsi="Times New Roman" w:cs="Times New Roman"/>
          <w:sz w:val="20"/>
          <w:szCs w:val="20"/>
        </w:rPr>
        <w:t>s</w:t>
      </w:r>
      <w:r>
        <w:rPr>
          <w:rFonts w:ascii="Times New Roman" w:hAnsi="Times New Roman" w:cs="Times New Roman"/>
          <w:sz w:val="20"/>
          <w:szCs w:val="20"/>
          <w:lang w:val="en-GB"/>
        </w:rPr>
        <w:t xml:space="preserve">. </w:t>
      </w:r>
    </w:p>
    <w:p>
      <w:pPr>
        <w:spacing w:after="180"/>
        <w:rPr>
          <w:rFonts w:ascii="Times New Roman" w:hAnsi="Times New Roman" w:cs="Times New Roman"/>
          <w:sz w:val="20"/>
          <w:szCs w:val="20"/>
        </w:rPr>
      </w:pPr>
      <w:r>
        <w:rPr>
          <w:rFonts w:ascii="Times New Roman" w:hAnsi="Times New Roman" w:cs="Times New Roman"/>
          <w:sz w:val="20"/>
          <w:szCs w:val="20"/>
        </w:rPr>
        <w:t xml:space="preserve">For MBS transmission in RRC_CONNECTED state, the same problem on transmission capacity also exists if CORESET#0 defined initial BWP is activated as the active BWP for a UE. Therefore, it is reasonable to allow CFR for MBS to be larger than CORESET#0 defined initial BWP in such case. </w:t>
      </w:r>
    </w:p>
    <w:p>
      <w:pPr>
        <w:spacing w:after="180"/>
        <w:rPr>
          <w:rFonts w:ascii="Times New Roman" w:hAnsi="Times New Roman" w:cs="Times New Roman"/>
          <w:sz w:val="20"/>
          <w:szCs w:val="20"/>
        </w:rPr>
      </w:pPr>
      <w:r>
        <w:rPr>
          <w:rFonts w:ascii="Times New Roman" w:hAnsi="Times New Roman" w:cs="Times New Roman"/>
          <w:sz w:val="20"/>
          <w:szCs w:val="20"/>
        </w:rPr>
        <w:t xml:space="preserve">Regarding the specific definition of CFR associated with initial BWP, the similar issue on CFR for broadcast transmission in RRC_IDLE/INACTIVE states has been discussed during the last several meetings. </w:t>
      </w:r>
      <w:bookmarkStart w:id="5" w:name="OLE_LINK10"/>
      <w:r>
        <w:rPr>
          <w:rFonts w:ascii="Times New Roman" w:hAnsi="Times New Roman" w:cs="Times New Roman"/>
          <w:sz w:val="20"/>
          <w:szCs w:val="20"/>
        </w:rPr>
        <w:t>Considering the consistency of solution design, we suggest to postpone the discussion of CFR associated with initial BWP under RRC_CONNECTED state until the related issue is clearly concluded under RRC_IDLE/INACTIVE states</w:t>
      </w:r>
      <w:bookmarkEnd w:id="5"/>
      <w:r>
        <w:rPr>
          <w:rFonts w:ascii="Times New Roman" w:hAnsi="Times New Roman" w:cs="Times New Roman"/>
          <w:sz w:val="20"/>
          <w:szCs w:val="20"/>
        </w:rPr>
        <w:t xml:space="preserve">. </w:t>
      </w:r>
    </w:p>
    <w:p>
      <w:pPr>
        <w:pStyle w:val="114"/>
        <w:numPr>
          <w:ilvl w:val="0"/>
          <w:numId w:val="0"/>
        </w:numPr>
        <w:spacing w:after="180"/>
        <w:rPr>
          <w:rFonts w:ascii="Times New Roman" w:hAnsi="Times New Roman" w:cs="Times New Roman"/>
          <w:i/>
          <w:iCs/>
          <w:sz w:val="20"/>
          <w:szCs w:val="20"/>
          <w:lang w:val="en-US"/>
        </w:rPr>
      </w:pPr>
      <w:r>
        <w:rPr>
          <w:rFonts w:ascii="Times New Roman" w:hAnsi="Times New Roman" w:cs="Times New Roman"/>
          <w:b/>
          <w:bCs/>
          <w:i/>
          <w:iCs/>
          <w:sz w:val="20"/>
          <w:szCs w:val="20"/>
          <w:lang w:val="en-US"/>
        </w:rPr>
        <w:t xml:space="preserve">Proposal </w:t>
      </w:r>
      <w:r>
        <w:rPr>
          <w:rFonts w:hint="eastAsia" w:ascii="Times New Roman" w:hAnsi="Times New Roman" w:eastAsia="宋体" w:cs="Times New Roman"/>
          <w:b/>
          <w:bCs/>
          <w:i/>
          <w:iCs/>
          <w:sz w:val="20"/>
          <w:szCs w:val="20"/>
          <w:lang w:val="en-US"/>
        </w:rPr>
        <w:t>2</w:t>
      </w:r>
      <w:r>
        <w:rPr>
          <w:rFonts w:ascii="Times New Roman" w:hAnsi="Times New Roman" w:cs="Times New Roman"/>
          <w:b/>
          <w:bCs/>
          <w:i/>
          <w:iCs/>
          <w:sz w:val="20"/>
          <w:szCs w:val="20"/>
        </w:rPr>
        <w:t xml:space="preserve">: </w:t>
      </w:r>
      <w:bookmarkStart w:id="6" w:name="_Hlk68872299"/>
      <w:r>
        <w:rPr>
          <w:rFonts w:ascii="Times New Roman" w:hAnsi="Times New Roman" w:cs="Times New Roman"/>
          <w:i/>
          <w:iCs/>
          <w:sz w:val="20"/>
          <w:szCs w:val="20"/>
        </w:rPr>
        <w:t xml:space="preserve">CFR </w:t>
      </w:r>
      <w:r>
        <w:rPr>
          <w:rFonts w:ascii="Times New Roman" w:hAnsi="Times New Roman" w:cs="Times New Roman"/>
          <w:i/>
          <w:iCs/>
          <w:sz w:val="20"/>
          <w:szCs w:val="20"/>
          <w:lang w:val="en-US"/>
        </w:rPr>
        <w:t xml:space="preserve">can be </w:t>
      </w:r>
      <w:r>
        <w:rPr>
          <w:rFonts w:ascii="Times New Roman" w:hAnsi="Times New Roman" w:cs="Times New Roman"/>
          <w:i/>
          <w:iCs/>
          <w:sz w:val="20"/>
          <w:szCs w:val="20"/>
        </w:rPr>
        <w:t xml:space="preserve">configured </w:t>
      </w:r>
      <w:r>
        <w:rPr>
          <w:rFonts w:ascii="Times New Roman" w:hAnsi="Times New Roman" w:cs="Times New Roman"/>
          <w:i/>
          <w:iCs/>
          <w:sz w:val="20"/>
          <w:szCs w:val="20"/>
          <w:lang w:val="en-US"/>
        </w:rPr>
        <w:t xml:space="preserve">larger than active downlink BWP when the active downlink BWP is the initial BWP defined by CORESET#0. </w:t>
      </w:r>
    </w:p>
    <w:p>
      <w:pPr>
        <w:pStyle w:val="114"/>
        <w:numPr>
          <w:ilvl w:val="0"/>
          <w:numId w:val="13"/>
        </w:numPr>
        <w:rPr>
          <w:rFonts w:ascii="Times New Roman" w:hAnsi="Times New Roman" w:cs="Times New Roman"/>
          <w:i/>
          <w:iCs/>
          <w:sz w:val="20"/>
          <w:szCs w:val="20"/>
          <w:lang w:val="en-US"/>
        </w:rPr>
      </w:pPr>
      <w:bookmarkStart w:id="7" w:name="OLE_LINK17"/>
      <w:r>
        <w:rPr>
          <w:rFonts w:ascii="Times New Roman" w:hAnsi="Times New Roman" w:cs="Times New Roman"/>
          <w:i/>
          <w:iCs/>
          <w:sz w:val="20"/>
          <w:szCs w:val="20"/>
          <w:lang w:val="en-US"/>
        </w:rPr>
        <w:t>Prioritize the corresponding discussion in RRC IDLE/INACTIVE state to strive for a consistent solution for all RRC states</w:t>
      </w:r>
    </w:p>
    <w:bookmarkEnd w:id="6"/>
    <w:p>
      <w:pPr>
        <w:spacing w:before="120" w:beforeLines="50"/>
        <w:rPr>
          <w:rFonts w:ascii="Times New Roman" w:hAnsi="Times New Roman" w:cs="Times New Roman"/>
          <w:b/>
          <w:bCs/>
          <w:sz w:val="20"/>
          <w:szCs w:val="20"/>
          <w:u w:val="single"/>
        </w:rPr>
      </w:pPr>
    </w:p>
    <w:p>
      <w:pPr>
        <w:spacing w:after="180"/>
        <w:rPr>
          <w:rFonts w:ascii="Times New Roman" w:hAnsi="Times New Roman" w:cs="Times New Roman"/>
          <w:b/>
          <w:bCs/>
          <w:sz w:val="20"/>
          <w:szCs w:val="20"/>
          <w:u w:val="single"/>
        </w:rPr>
      </w:pPr>
      <w:r>
        <w:rPr>
          <w:rFonts w:hint="eastAsia" w:ascii="Times New Roman" w:hAnsi="Times New Roman" w:cs="Times New Roman"/>
          <w:b/>
          <w:bCs/>
          <w:sz w:val="20"/>
          <w:szCs w:val="20"/>
          <w:u w:val="single"/>
        </w:rPr>
        <w:t>Details of CFR configuration</w:t>
      </w:r>
    </w:p>
    <w:p>
      <w:pPr>
        <w:spacing w:after="18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In some scenarios, some advantages can be obtained by configuring multiple CFRs in one dedicated unicast BWP. As shown in Figure-1, UE2 can be divided into multiple MBS groups to receive multiple MBS services, e.g., MBS service 1 and MBS service 2. Considering different MBS services received by different UE groups, different frequency range of CFRs are required. For example, CFR1 can be configured to receive MBS service 1 in the overlapping area between unicast BWP of UE1 and unicast BWP of UE2, and CFR2 can be configured to receive MBS service 2 in the overlapping area between unicast BWP of UE2 and unicast BWP of UE3. If only one CFR can be configured in each unicast BWP, UE2 may have to select only one of the MBS services for receiving. Therefore, </w:t>
      </w:r>
      <w:r>
        <w:rPr>
          <w:rFonts w:ascii="Times New Roman" w:hAnsi="Times New Roman" w:cs="Times New Roman"/>
          <w:sz w:val="20"/>
          <w:szCs w:val="20"/>
        </w:rPr>
        <w:t xml:space="preserve">more than one CFR should be supported per dedicated unicast BWP at least according to UE capability. </w:t>
      </w:r>
    </w:p>
    <w:p>
      <w:pPr>
        <w:jc w:val="center"/>
        <w:rPr>
          <w:rFonts w:ascii="Times New Roman" w:hAnsi="Times New Roman" w:cs="Times New Roman"/>
          <w:sz w:val="20"/>
          <w:szCs w:val="20"/>
        </w:rPr>
      </w:pPr>
      <w:r>
        <w:rPr>
          <w:rFonts w:ascii="Times New Roman" w:hAnsi="Times New Roman" w:cs="Times New Roman"/>
          <w:sz w:val="20"/>
          <w:szCs w:val="20"/>
        </w:rPr>
        <w:drawing>
          <wp:inline distT="0" distB="0" distL="114300" distR="114300">
            <wp:extent cx="2564130" cy="1672590"/>
            <wp:effectExtent l="0" t="0" r="11430" b="381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2564130" cy="1672590"/>
                    </a:xfrm>
                    <a:prstGeom prst="rect">
                      <a:avLst/>
                    </a:prstGeom>
                    <a:noFill/>
                    <a:ln>
                      <a:noFill/>
                    </a:ln>
                  </pic:spPr>
                </pic:pic>
              </a:graphicData>
            </a:graphic>
          </wp:inline>
        </w:drawing>
      </w:r>
    </w:p>
    <w:p>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Figure-1</w:t>
      </w:r>
      <w:r>
        <w:rPr>
          <w:rFonts w:hint="eastAsia" w:ascii="Times New Roman" w:hAnsi="Times New Roman" w:cs="Times New Roman"/>
          <w:b/>
          <w:bCs/>
          <w:sz w:val="20"/>
          <w:szCs w:val="20"/>
        </w:rPr>
        <w:t>:</w:t>
      </w:r>
      <w:r>
        <w:rPr>
          <w:rFonts w:ascii="Times New Roman" w:hAnsi="Times New Roman" w:cs="Times New Roman"/>
          <w:b/>
          <w:bCs/>
          <w:sz w:val="20"/>
          <w:szCs w:val="20"/>
        </w:rPr>
        <w:t xml:space="preserve"> More than one CFRs per dedicated unicast BWP</w:t>
      </w:r>
    </w:p>
    <w:p>
      <w:pPr>
        <w:spacing w:after="180"/>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Various parameters should be configured under the CFR for MBS transmission. Some of them may be the same for both unicast and MBS. It is reasonable to share the parameter configuration between unicast and MBS. That is, the parameters configured under the dedicated unicast BWP can be used for MBS transmission if the corresponding parameters are not configured under the CFR. For example, if the frequency range is not configured for the CFR, a UE can assume the MBS is transmitted within the frequency range of its dedicated unicast BWP. </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3</w:t>
      </w:r>
      <w:r>
        <w:rPr>
          <w:rFonts w:ascii="Times New Roman" w:hAnsi="Times New Roman" w:cs="Times New Roman"/>
          <w:i/>
          <w:sz w:val="20"/>
          <w:szCs w:val="20"/>
        </w:rPr>
        <w:t xml:space="preserve">: Regarding the CFR configuration,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More than one CFR can be supported per dedicated unicast BWP.</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color w:val="000000" w:themeColor="text1"/>
          <w:sz w:val="20"/>
          <w:szCs w:val="20"/>
          <w:lang w:val="en-US"/>
          <w14:textFill>
            <w14:solidFill>
              <w14:schemeClr w14:val="tx1"/>
            </w14:solidFill>
          </w14:textFill>
        </w:rPr>
        <w:t>The parameters configured under the dedicated unicast BWP can be used for MBS transmission if the corresponding parameters are not configured under the CFR</w:t>
      </w:r>
      <w:r>
        <w:rPr>
          <w:rFonts w:ascii="Times New Roman" w:hAnsi="Times New Roman" w:cs="Times New Roman"/>
          <w:i/>
          <w:iCs/>
          <w:color w:val="000000" w:themeColor="text1"/>
          <w:sz w:val="20"/>
          <w:szCs w:val="20"/>
          <w14:textFill>
            <w14:solidFill>
              <w14:schemeClr w14:val="tx1"/>
            </w14:solidFill>
          </w14:textFill>
        </w:rPr>
        <w:t>.</w:t>
      </w:r>
    </w:p>
    <w:bookmarkEnd w:id="7"/>
    <w:p>
      <w:pPr>
        <w:spacing w:after="180"/>
        <w:rPr>
          <w:rFonts w:ascii="Times New Roman" w:hAnsi="Times New Roman" w:cs="Times New Roman"/>
          <w:b/>
          <w:bCs/>
          <w:sz w:val="20"/>
          <w:szCs w:val="20"/>
          <w:u w:val="single"/>
        </w:rPr>
      </w:pPr>
      <w:r>
        <w:rPr>
          <w:rFonts w:hint="eastAsia" w:ascii="Times New Roman" w:hAnsi="Times New Roman" w:cs="Times New Roman"/>
          <w:b/>
          <w:bCs/>
          <w:sz w:val="20"/>
          <w:szCs w:val="20"/>
          <w:u w:val="single"/>
        </w:rPr>
        <w:t>Impact on BWP-InactivityTimer</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During RAN1#106-e meeting, potential impact on </w:t>
      </w:r>
      <w:r>
        <w:rPr>
          <w:rFonts w:hint="eastAsia" w:ascii="Times New Roman" w:hAnsi="Times New Roman" w:cs="Times New Roman"/>
          <w:i/>
          <w:iCs/>
          <w:sz w:val="20"/>
          <w:szCs w:val="20"/>
        </w:rPr>
        <w:t>BWP-InactivityTimer</w:t>
      </w:r>
      <w:r>
        <w:rPr>
          <w:rFonts w:hint="eastAsia" w:ascii="Times New Roman" w:hAnsi="Times New Roman" w:cs="Times New Roman"/>
          <w:sz w:val="20"/>
          <w:szCs w:val="20"/>
        </w:rPr>
        <w:t xml:space="preserve"> by GC-PDCCH monitoring was discussed. The related options proposed by companies are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255"/>
                <w:numId w:val="0"/>
              </w:numPr>
              <w:spacing w:before="0" w:after="0" w:line="240" w:lineRule="auto"/>
              <w:rPr>
                <w:rFonts w:ascii="Times New Roman" w:hAnsi="Times New Roman" w:cs="Times New Roman"/>
                <w:sz w:val="18"/>
                <w:szCs w:val="20"/>
              </w:rPr>
            </w:pPr>
            <w:r>
              <w:rPr>
                <w:rFonts w:ascii="Times New Roman" w:hAnsi="Times New Roman" w:cs="Times New Roman"/>
                <w:b/>
                <w:sz w:val="18"/>
                <w:szCs w:val="20"/>
                <w:highlight w:val="yellow"/>
              </w:rPr>
              <w:t>[High] Updated Proposal 1-5</w:t>
            </w:r>
            <w:r>
              <w:rPr>
                <w:rFonts w:ascii="Times New Roman" w:hAnsi="Times New Roman" w:cs="Times New Roman"/>
                <w:sz w:val="18"/>
                <w:szCs w:val="20"/>
              </w:rPr>
              <w:t>: If a UE is configured with a CFR in the active DL BWP, for timer-based active DL BWP switching to a default BWP, further study the following options:</w:t>
            </w:r>
          </w:p>
          <w:p>
            <w:pPr>
              <w:pStyle w:val="114"/>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Option 1: UE also starts or restarts </w:t>
            </w:r>
            <w:r>
              <w:rPr>
                <w:rFonts w:ascii="Times New Roman" w:hAnsi="Times New Roman" w:cs="Times New Roman"/>
                <w:i/>
                <w:sz w:val="18"/>
                <w:szCs w:val="20"/>
              </w:rPr>
              <w:t>BWP-InactivityTimer</w:t>
            </w:r>
            <w:r>
              <w:rPr>
                <w:rFonts w:ascii="Times New Roman" w:hAnsi="Times New Roman" w:cs="Times New Roman"/>
                <w:sz w:val="18"/>
                <w:szCs w:val="20"/>
              </w:rPr>
              <w:t xml:space="preserve"> when it successfully decodes a GC-PDCCH addressed to group-common RNTI (e.g., G-RNTI or G-CS-RNTI).</w:t>
            </w:r>
          </w:p>
          <w:p>
            <w:pPr>
              <w:pStyle w:val="114"/>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Option 2: Introduce a new </w:t>
            </w:r>
            <w:r>
              <w:rPr>
                <w:rFonts w:ascii="Times New Roman" w:hAnsi="Times New Roman" w:cs="Times New Roman"/>
                <w:i/>
                <w:iCs/>
                <w:sz w:val="18"/>
                <w:szCs w:val="20"/>
              </w:rPr>
              <w:t>MBS-BWP-InactivityTimer</w:t>
            </w:r>
            <w:r>
              <w:rPr>
                <w:rFonts w:ascii="Times New Roman" w:hAnsi="Times New Roman" w:cs="Times New Roman"/>
                <w:sz w:val="18"/>
                <w:szCs w:val="20"/>
              </w:rPr>
              <w:t xml:space="preserve"> for GC-PDCCH receptions.</w:t>
            </w:r>
          </w:p>
          <w:p>
            <w:pPr>
              <w:pStyle w:val="114"/>
              <w:numPr>
                <w:ilvl w:val="0"/>
                <w:numId w:val="14"/>
              </w:numPr>
              <w:spacing w:before="0" w:after="0" w:line="240" w:lineRule="auto"/>
              <w:rPr>
                <w:rFonts w:ascii="Times New Roman" w:hAnsi="Times New Roman" w:cs="Times New Roman" w:eastAsiaTheme="minorEastAsia"/>
                <w:sz w:val="18"/>
                <w:szCs w:val="20"/>
                <w:lang w:val="en-US"/>
              </w:rPr>
            </w:pPr>
            <w:r>
              <w:rPr>
                <w:rFonts w:ascii="Times New Roman" w:hAnsi="Times New Roman" w:eastAsia="宋体" w:cs="Times New Roman"/>
                <w:sz w:val="18"/>
                <w:szCs w:val="20"/>
              </w:rPr>
              <w:t>Note: Other options are not precluded.</w:t>
            </w:r>
          </w:p>
        </w:tc>
      </w:tr>
    </w:tbl>
    <w:p>
      <w:pPr>
        <w:spacing w:after="180"/>
      </w:pPr>
    </w:p>
    <w:p>
      <w:pPr>
        <w:spacing w:after="180"/>
        <w:rPr>
          <w:rFonts w:ascii="Times New Roman" w:hAnsi="Times New Roman" w:cs="Times New Roman"/>
          <w:sz w:val="20"/>
          <w:szCs w:val="20"/>
        </w:rPr>
      </w:pPr>
      <w:r>
        <w:rPr>
          <w:rFonts w:hint="eastAsia" w:ascii="Times New Roman" w:hAnsi="Times New Roman" w:cs="Times New Roman"/>
          <w:sz w:val="20"/>
          <w:szCs w:val="20"/>
        </w:rPr>
        <w:t>Currently, a</w:t>
      </w:r>
      <w:r>
        <w:rPr>
          <w:rFonts w:ascii="Times New Roman" w:hAnsi="Times New Roman" w:cs="Times New Roman"/>
          <w:sz w:val="20"/>
          <w:szCs w:val="20"/>
        </w:rPr>
        <w:t xml:space="preserve"> UE </w:t>
      </w:r>
      <w:r>
        <w:rPr>
          <w:rFonts w:hint="eastAsia" w:ascii="Times New Roman" w:hAnsi="Times New Roman" w:cs="Times New Roman"/>
          <w:sz w:val="20"/>
          <w:szCs w:val="20"/>
        </w:rPr>
        <w:t>will switch</w:t>
      </w:r>
      <w:r>
        <w:rPr>
          <w:rFonts w:ascii="Times New Roman" w:hAnsi="Times New Roman" w:cs="Times New Roman"/>
          <w:sz w:val="20"/>
          <w:szCs w:val="20"/>
        </w:rPr>
        <w:t xml:space="preserve"> the active unicast DL BWP to the default</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DL BWP when </w:t>
      </w:r>
      <w:r>
        <w:rPr>
          <w:rFonts w:ascii="Times New Roman" w:hAnsi="Times New Roman" w:cs="Times New Roman"/>
          <w:i/>
          <w:sz w:val="20"/>
          <w:szCs w:val="20"/>
        </w:rPr>
        <w:t xml:space="preserve">BWP-InactivityTimer </w:t>
      </w:r>
      <w:r>
        <w:rPr>
          <w:rFonts w:ascii="Times New Roman" w:hAnsi="Times New Roman" w:cs="Times New Roman"/>
          <w:sz w:val="20"/>
          <w:szCs w:val="20"/>
        </w:rPr>
        <w:t xml:space="preserve">expires, and the </w:t>
      </w:r>
      <w:r>
        <w:rPr>
          <w:rFonts w:ascii="Times New Roman" w:hAnsi="Times New Roman" w:cs="Times New Roman"/>
          <w:i/>
          <w:sz w:val="20"/>
          <w:szCs w:val="20"/>
        </w:rPr>
        <w:t xml:space="preserve">BWP-InactivityTimer </w:t>
      </w:r>
      <w:r>
        <w:rPr>
          <w:rFonts w:ascii="Times New Roman" w:hAnsi="Times New Roman" w:cs="Times New Roman"/>
          <w:sz w:val="20"/>
          <w:szCs w:val="20"/>
        </w:rPr>
        <w:t>is reset upon reception of a DCI format with CRC scrambled by C-RNTI or CS-RNTI</w:t>
      </w:r>
      <w:r>
        <w:rPr>
          <w:rFonts w:hint="eastAsia" w:ascii="Times New Roman" w:hAnsi="Times New Roman" w:cs="Times New Roman"/>
          <w:sz w:val="20"/>
          <w:szCs w:val="20"/>
        </w:rPr>
        <w:t>.</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Similarly, for GC-PDCCH with G-RNTI which is also applied to data scheduling, the impact on the </w:t>
      </w:r>
      <w:r>
        <w:rPr>
          <w:rFonts w:hint="eastAsia" w:ascii="Times New Roman" w:hAnsi="Times New Roman" w:cs="Times New Roman"/>
          <w:i/>
          <w:iCs/>
          <w:sz w:val="20"/>
          <w:szCs w:val="20"/>
        </w:rPr>
        <w:t>BWP-InactivityTimer</w:t>
      </w:r>
      <w:r>
        <w:rPr>
          <w:rFonts w:ascii="Times New Roman" w:hAnsi="Times New Roman" w:cs="Times New Roman"/>
          <w:i/>
          <w:iCs/>
          <w:sz w:val="20"/>
          <w:szCs w:val="20"/>
        </w:rPr>
        <w:t xml:space="preserve"> </w:t>
      </w:r>
      <w:r>
        <w:rPr>
          <w:rFonts w:hint="eastAsia" w:ascii="Times New Roman" w:hAnsi="Times New Roman" w:cs="Times New Roman"/>
          <w:sz w:val="20"/>
          <w:szCs w:val="20"/>
        </w:rPr>
        <w:t>should also be considered</w:t>
      </w:r>
      <w:r>
        <w:rPr>
          <w:rFonts w:ascii="Times New Roman" w:hAnsi="Times New Roman" w:cs="Times New Roman"/>
          <w:sz w:val="20"/>
          <w:szCs w:val="20"/>
        </w:rPr>
        <w:t xml:space="preserve">. </w:t>
      </w:r>
    </w:p>
    <w:p>
      <w:pPr>
        <w:spacing w:after="180"/>
        <w:rPr>
          <w:rFonts w:ascii="Times New Roman" w:hAnsi="Times New Roman" w:cs="Times New Roman"/>
          <w:sz w:val="20"/>
          <w:szCs w:val="20"/>
        </w:rPr>
      </w:pPr>
      <w:r>
        <w:rPr>
          <w:rFonts w:hint="eastAsia" w:ascii="Times New Roman" w:hAnsi="Times New Roman" w:cs="Times New Roman"/>
          <w:sz w:val="20"/>
          <w:szCs w:val="20"/>
        </w:rPr>
        <w:t>For option 2 as described in [</w:t>
      </w:r>
      <w:r>
        <w:rPr>
          <w:rFonts w:hint="eastAsia" w:ascii="Times New Roman" w:hAnsi="Times New Roman" w:cs="Times New Roman"/>
          <w:sz w:val="20"/>
          <w:szCs w:val="20"/>
          <w:lang w:val="en-US" w:eastAsia="zh-CN"/>
        </w:rPr>
        <w:t>3</w:t>
      </w:r>
      <w:r>
        <w:rPr>
          <w:rFonts w:hint="eastAsia" w:ascii="Times New Roman" w:hAnsi="Times New Roman" w:cs="Times New Roman"/>
          <w:sz w:val="20"/>
          <w:szCs w:val="20"/>
        </w:rPr>
        <w:t>], a new M</w:t>
      </w:r>
      <w:r>
        <w:rPr>
          <w:rFonts w:hint="eastAsia" w:ascii="Times New Roman" w:hAnsi="Times New Roman" w:cs="Times New Roman"/>
          <w:i/>
          <w:iCs/>
          <w:sz w:val="20"/>
          <w:szCs w:val="20"/>
        </w:rPr>
        <w:t>BS-BWP-InactivityTimer</w:t>
      </w:r>
      <w:r>
        <w:rPr>
          <w:rFonts w:hint="eastAsia" w:ascii="Times New Roman" w:hAnsi="Times New Roman" w:cs="Times New Roman"/>
          <w:sz w:val="20"/>
          <w:szCs w:val="20"/>
        </w:rPr>
        <w:t xml:space="preserve"> can be introduced for GC-PDCCH monitoring. More specifically, if the </w:t>
      </w:r>
      <w:r>
        <w:rPr>
          <w:rFonts w:hint="eastAsia" w:ascii="Times New Roman" w:hAnsi="Times New Roman" w:cs="Times New Roman"/>
          <w:i/>
          <w:iCs/>
          <w:sz w:val="20"/>
          <w:szCs w:val="20"/>
        </w:rPr>
        <w:t>MBS-BWP-Inactivity</w:t>
      </w:r>
      <w:r>
        <w:rPr>
          <w:rFonts w:hint="eastAsia" w:ascii="Times New Roman" w:hAnsi="Times New Roman" w:cs="Times New Roman"/>
          <w:sz w:val="20"/>
          <w:szCs w:val="20"/>
        </w:rPr>
        <w:t>Timer expires, UE will stop monitoring GC-PDCCH or switch to another search space set group for reducing the overhead for GC-PDCCH monitoring. From our point of views, the energy saving effect is limited. In a typical scenario, unicast PDCCH has a higher monitoring density compar</w:t>
      </w:r>
      <w:r>
        <w:rPr>
          <w:rFonts w:ascii="Times New Roman" w:hAnsi="Times New Roman" w:cs="Times New Roman"/>
          <w:sz w:val="20"/>
          <w:szCs w:val="20"/>
        </w:rPr>
        <w:t>ed</w:t>
      </w:r>
      <w:r>
        <w:rPr>
          <w:rFonts w:hint="eastAsia" w:ascii="Times New Roman" w:hAnsi="Times New Roman" w:cs="Times New Roman"/>
          <w:sz w:val="20"/>
          <w:szCs w:val="20"/>
        </w:rPr>
        <w:t xml:space="preserve"> with GC-PDCCH, so the energy saving effect of reducing or disabling GC-PDCCH blind detection only comes from reducing the number of blind detection within the slot, which brings limited energy saving effects. </w:t>
      </w:r>
    </w:p>
    <w:p>
      <w:pPr>
        <w:spacing w:after="180"/>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the energy saving effect is limited by introducing an independent inactivity timer for GC-PDCCH reception. </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As a more straightforward way, option 1 requires only a few standardization efforts, which is preferred in this later phase. </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4</w:t>
      </w:r>
      <w:r>
        <w:rPr>
          <w:rFonts w:ascii="Times New Roman" w:hAnsi="Times New Roman" w:cs="Times New Roman"/>
          <w:i/>
          <w:sz w:val="20"/>
          <w:szCs w:val="20"/>
        </w:rPr>
        <w:t xml:space="preserve">: </w:t>
      </w:r>
      <w:r>
        <w:rPr>
          <w:rFonts w:hint="eastAsia" w:ascii="Times New Roman" w:hAnsi="Times New Roman" w:cs="Times New Roman"/>
          <w:i/>
          <w:sz w:val="20"/>
          <w:szCs w:val="20"/>
        </w:rPr>
        <w:t>Fo</w:t>
      </w:r>
      <w:r>
        <w:rPr>
          <w:rFonts w:ascii="Times New Roman" w:hAnsi="Times New Roman" w:cs="Times New Roman"/>
          <w:i/>
          <w:sz w:val="20"/>
          <w:szCs w:val="20"/>
        </w:rPr>
        <w:t>r timer-based BWP switching</w:t>
      </w:r>
      <w:r>
        <w:rPr>
          <w:rFonts w:hint="eastAsia" w:ascii="Times New Roman" w:hAnsi="Times New Roman" w:cs="Times New Roman"/>
          <w:i/>
          <w:sz w:val="20"/>
          <w:szCs w:val="20"/>
        </w:rPr>
        <w:t xml:space="preserve">, </w:t>
      </w:r>
      <w:r>
        <w:rPr>
          <w:rFonts w:ascii="Times New Roman" w:hAnsi="Times New Roman" w:cs="Times New Roman"/>
          <w:i/>
          <w:sz w:val="20"/>
          <w:szCs w:val="20"/>
        </w:rPr>
        <w:t xml:space="preserve">UE starts or restarts BWP-InactivityTimer when it successfully decodes a GC-PDCCH addressed to group-common RNTI (e.g., G-RNTI or G-CS-RNTI) on/for the active BWP. </w:t>
      </w:r>
    </w:p>
    <w:p>
      <w:pPr>
        <w:pStyle w:val="2"/>
        <w:rPr>
          <w:lang w:eastAsia="zh-CN"/>
        </w:rPr>
      </w:pPr>
      <w:r>
        <w:rPr>
          <w:rFonts w:hint="eastAsia"/>
          <w:lang w:eastAsia="zh-CN"/>
        </w:rPr>
        <w:t xml:space="preserve">Detailed design of </w:t>
      </w:r>
      <w:r>
        <w:rPr>
          <w:rFonts w:hint="eastAsia"/>
          <w:lang w:val="en-US" w:eastAsia="zh-CN"/>
        </w:rPr>
        <w:t>GC-</w:t>
      </w:r>
      <w:r>
        <w:rPr>
          <w:rFonts w:hint="eastAsia"/>
          <w:lang w:eastAsia="zh-CN"/>
        </w:rPr>
        <w:t>PDCCH</w:t>
      </w:r>
    </w:p>
    <w:p>
      <w:pPr>
        <w:pStyle w:val="3"/>
        <w:rPr>
          <w:lang w:eastAsia="zh-CN"/>
        </w:rPr>
      </w:pPr>
      <w:r>
        <w:rPr>
          <w:rFonts w:hint="eastAsia"/>
          <w:lang w:val="en-US" w:eastAsia="zh-CN"/>
        </w:rPr>
        <w:t>3.1</w:t>
      </w:r>
      <w:r>
        <w:rPr>
          <w:rFonts w:hint="eastAsia"/>
          <w:lang w:val="en-US" w:eastAsia="zh-CN"/>
        </w:rPr>
        <w:tab/>
      </w:r>
      <w:r>
        <w:rPr>
          <w:rFonts w:hint="eastAsia"/>
          <w:lang w:val="en-US" w:eastAsia="zh-CN"/>
        </w:rPr>
        <w:t>GC-PDCCH for PTM retransmission</w:t>
      </w:r>
    </w:p>
    <w:p>
      <w:pPr>
        <w:spacing w:after="180"/>
        <w:rPr>
          <w:rFonts w:ascii="Times New Roman" w:hAnsi="Times New Roman" w:cs="Times New Roman"/>
          <w:sz w:val="20"/>
          <w:szCs w:val="20"/>
        </w:rPr>
      </w:pPr>
      <w:r>
        <w:rPr>
          <w:rFonts w:ascii="Times New Roman" w:hAnsi="Times New Roman" w:cs="Times New Roman"/>
          <w:sz w:val="20"/>
          <w:szCs w:val="20"/>
        </w:rPr>
        <w:t xml:space="preserve">As agreed in the previous RAN1 meeting, both PTM scheme 1 and PTP can be used for retransmission for multicast if ACK/NACK based HARQ-ACK feedback is configured. While for NACK-only feedback, only PTM scheme 1 can be used as gNB doesn’t know which UE failed to receive the GC-PDSCH and fed back NACK.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255"/>
                <w:numId w:val="0"/>
              </w:numPr>
              <w:spacing w:before="0" w:line="240" w:lineRule="auto"/>
              <w:jc w:val="left"/>
              <w:rPr>
                <w:rFonts w:ascii="Times New Roman" w:hAnsi="Times New Roman" w:eastAsia="Times New Roman" w:cs="Times New Roman"/>
                <w:sz w:val="18"/>
                <w:szCs w:val="20"/>
              </w:rPr>
            </w:pPr>
            <w:r>
              <w:rPr>
                <w:rFonts w:ascii="Times New Roman" w:hAnsi="Times New Roman" w:eastAsia="Times New Roman" w:cs="Times New Roman"/>
                <w:sz w:val="18"/>
                <w:szCs w:val="20"/>
                <w:highlight w:val="green"/>
              </w:rPr>
              <w:t>Agreement:</w:t>
            </w:r>
          </w:p>
          <w:p>
            <w:pPr>
              <w:numPr>
                <w:ilvl w:val="255"/>
                <w:numId w:val="0"/>
              </w:numPr>
              <w:spacing w:before="0" w:line="240" w:lineRule="auto"/>
              <w:jc w:val="left"/>
              <w:rPr>
                <w:rFonts w:ascii="Times New Roman" w:hAnsi="Times New Roman" w:cs="Times New Roman"/>
                <w:sz w:val="18"/>
                <w:szCs w:val="20"/>
              </w:rPr>
            </w:pPr>
            <w:r>
              <w:rPr>
                <w:rFonts w:ascii="Times New Roman" w:hAnsi="Times New Roman" w:cs="Times New Roman"/>
                <w:sz w:val="18"/>
                <w:szCs w:val="20"/>
              </w:rPr>
              <w:t>For RRC_CONNECTED UEs,</w:t>
            </w:r>
            <w:bookmarkStart w:id="8" w:name="OLE_LINK23"/>
            <w:r>
              <w:rPr>
                <w:rFonts w:ascii="Times New Roman" w:hAnsi="Times New Roman" w:cs="Times New Roman"/>
                <w:sz w:val="18"/>
                <w:szCs w:val="20"/>
              </w:rPr>
              <w:t xml:space="preserve"> if ACK/NACK based HARQ-ACK feedback</w:t>
            </w:r>
            <w:bookmarkEnd w:id="8"/>
            <w:r>
              <w:rPr>
                <w:rFonts w:ascii="Times New Roman" w:hAnsi="Times New Roman" w:cs="Times New Roman"/>
                <w:sz w:val="18"/>
                <w:szCs w:val="20"/>
              </w:rPr>
              <w:t xml:space="preserve"> is supported for PTM scheme 1, and if initial transmission for multicast is based on PTM transmission scheme 1, support retransmission(s) using PTP transmission.</w:t>
            </w:r>
          </w:p>
          <w:p>
            <w:pPr>
              <w:numPr>
                <w:ilvl w:val="0"/>
                <w:numId w:val="15"/>
              </w:numPr>
              <w:spacing w:before="0" w:line="240" w:lineRule="auto"/>
              <w:jc w:val="left"/>
              <w:rPr>
                <w:rFonts w:ascii="Times New Roman" w:hAnsi="Times New Roman" w:cs="Times New Roman"/>
                <w:sz w:val="18"/>
                <w:szCs w:val="20"/>
              </w:rPr>
            </w:pPr>
            <w:r>
              <w:rPr>
                <w:rFonts w:ascii="Times New Roman" w:hAnsi="Times New Roman" w:cs="Times New Roman"/>
                <w:sz w:val="18"/>
                <w:szCs w:val="20"/>
              </w:rPr>
              <w:t>The HARQ process ID and NDI indicated in DCI is used to associate the PTM scheme 1 and PTP transmitting the same TB.</w:t>
            </w: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ascii="Times New Roman" w:hAnsi="Times New Roman" w:cs="Times New Roman"/>
          <w:sz w:val="20"/>
          <w:szCs w:val="20"/>
        </w:rPr>
        <w:t xml:space="preserve">If PTM scheme 1 is used for multicast retransmission scheduling, it is necessary to determine whether the GC-PDCCH for PTM retransmission shares the same monitoring configurations (such as, search space, CORESET, etc.) as the GC-PDCCH for PTM initial transmission. Naturally, there are two options: </w:t>
      </w:r>
    </w:p>
    <w:p>
      <w:pPr>
        <w:numPr>
          <w:ilvl w:val="0"/>
          <w:numId w:val="16"/>
        </w:numPr>
        <w:spacing w:after="180"/>
        <w:rPr>
          <w:rFonts w:ascii="Times New Roman" w:hAnsi="Times New Roman" w:cs="Times New Roman"/>
          <w:b/>
          <w:bCs/>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same monitoring configurations are shared by GC-PDCCH of PTM initial transmission and PTM retransmission;</w:t>
      </w:r>
    </w:p>
    <w:p>
      <w:pPr>
        <w:numPr>
          <w:ilvl w:val="0"/>
          <w:numId w:val="16"/>
        </w:numPr>
        <w:spacing w:after="180"/>
        <w:rPr>
          <w:rFonts w:ascii="Times New Roman" w:hAnsi="Times New Roman" w:cs="Times New Roman"/>
          <w:b/>
          <w:bCs/>
          <w:sz w:val="20"/>
          <w:szCs w:val="20"/>
        </w:rPr>
      </w:pPr>
      <w:r>
        <w:rPr>
          <w:rFonts w:ascii="Times New Roman" w:hAnsi="Times New Roman" w:cs="Times New Roman"/>
          <w:b/>
          <w:bCs/>
          <w:sz w:val="20"/>
          <w:szCs w:val="20"/>
        </w:rPr>
        <w:t>Option 2</w:t>
      </w:r>
      <w:r>
        <w:rPr>
          <w:rFonts w:ascii="Times New Roman" w:hAnsi="Times New Roman" w:cs="Times New Roman"/>
          <w:sz w:val="20"/>
          <w:szCs w:val="20"/>
        </w:rPr>
        <w:t>: Configuring separate monitoring configuration for GC-PDCCH of PTM retransmission independently.</w:t>
      </w:r>
    </w:p>
    <w:p>
      <w:pPr>
        <w:spacing w:after="180"/>
        <w:rPr>
          <w:rFonts w:ascii="Times New Roman" w:hAnsi="Times New Roman" w:cs="Times New Roman"/>
          <w:sz w:val="20"/>
          <w:szCs w:val="20"/>
        </w:rPr>
      </w:pPr>
      <w:r>
        <w:rPr>
          <w:rFonts w:ascii="Times New Roman" w:hAnsi="Times New Roman" w:cs="Times New Roman"/>
          <w:sz w:val="20"/>
          <w:szCs w:val="20"/>
        </w:rPr>
        <w:t xml:space="preserve">For option 1, all the UEs in the multicast transmission group will be disturbed by this retransmission scheduling, including the UEs that have successfully received PTM initial transmission and fed back ACK since they have to decode the PDCCH and only to find out the PDCCH is scheduling retransmission. Some UE behaviors should be clarified. Such as, </w:t>
      </w:r>
    </w:p>
    <w:p>
      <w:pPr>
        <w:numPr>
          <w:ilvl w:val="0"/>
          <w:numId w:val="16"/>
        </w:numPr>
        <w:spacing w:after="180"/>
        <w:rPr>
          <w:rFonts w:ascii="Times New Roman" w:hAnsi="Times New Roman" w:cs="Times New Roman"/>
          <w:sz w:val="20"/>
          <w:szCs w:val="20"/>
        </w:rPr>
      </w:pPr>
      <w:r>
        <w:rPr>
          <w:rFonts w:ascii="Times New Roman" w:hAnsi="Times New Roman" w:cs="Times New Roman"/>
          <w:sz w:val="20"/>
          <w:szCs w:val="20"/>
        </w:rPr>
        <w:t>whether to further decode this PTM retransmission or not?</w:t>
      </w:r>
    </w:p>
    <w:p>
      <w:pPr>
        <w:numPr>
          <w:ilvl w:val="0"/>
          <w:numId w:val="16"/>
        </w:numPr>
        <w:spacing w:after="180"/>
        <w:rPr>
          <w:rFonts w:ascii="Times New Roman" w:hAnsi="Times New Roman" w:cs="Times New Roman"/>
          <w:sz w:val="20"/>
          <w:szCs w:val="20"/>
        </w:rPr>
      </w:pPr>
      <w:r>
        <w:rPr>
          <w:rFonts w:ascii="Times New Roman" w:hAnsi="Times New Roman" w:cs="Times New Roman"/>
          <w:sz w:val="20"/>
          <w:szCs w:val="20"/>
        </w:rPr>
        <w:t>whether/how to feed back to this PTM retransmission?</w:t>
      </w:r>
    </w:p>
    <w:p>
      <w:pPr>
        <w:spacing w:after="180"/>
        <w:rPr>
          <w:rFonts w:ascii="Times New Roman" w:hAnsi="Times New Roman" w:cs="Times New Roman"/>
          <w:sz w:val="20"/>
          <w:szCs w:val="20"/>
        </w:rPr>
      </w:pPr>
      <w:r>
        <w:rPr>
          <w:rFonts w:ascii="Times New Roman" w:hAnsi="Times New Roman" w:cs="Times New Roman"/>
          <w:sz w:val="20"/>
          <w:szCs w:val="20"/>
        </w:rPr>
        <w:t xml:space="preserve">Option 2 is a simple way for avoiding such issues. The UE won’t monitor GC-PDCCH in MO for PTM retransmission anymore if it has already successfully received PTM initial transmission. </w:t>
      </w:r>
    </w:p>
    <w:p>
      <w:pPr>
        <w:spacing w:after="180"/>
        <w:rPr>
          <w:rFonts w:ascii="Times New Roman" w:hAnsi="Times New Roman" w:cs="Times New Roman"/>
          <w:sz w:val="20"/>
          <w:szCs w:val="20"/>
        </w:rPr>
      </w:pPr>
      <w:r>
        <w:rPr>
          <w:rFonts w:ascii="Times New Roman" w:hAnsi="Times New Roman" w:cs="Times New Roman"/>
          <w:sz w:val="20"/>
          <w:szCs w:val="20"/>
        </w:rPr>
        <w:t>At this stage, from the perspective of accelerating the discussion process, option 2 is more appropriate, which can avoid some extra discussions.</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Monitoring configurations (e.g., CORESETs, Search Spaces, etc.) for GC-PDCCH of PTM retransmission can be configured separately from that for GC-PDCCH of PTM initial transmission. </w:t>
      </w:r>
    </w:p>
    <w:p>
      <w:pPr>
        <w:pStyle w:val="3"/>
        <w:rPr>
          <w:lang w:val="en-US" w:eastAsia="zh-CN"/>
        </w:rPr>
      </w:pPr>
      <w:r>
        <w:rPr>
          <w:rFonts w:hint="eastAsia"/>
          <w:lang w:val="en-US" w:eastAsia="zh-CN"/>
        </w:rPr>
        <w:t>3.2</w:t>
      </w:r>
      <w:r>
        <w:rPr>
          <w:rFonts w:hint="eastAsia"/>
          <w:lang w:val="en-US" w:eastAsia="zh-CN"/>
        </w:rPr>
        <w:tab/>
      </w:r>
      <w:r>
        <w:rPr>
          <w:rFonts w:hint="eastAsia"/>
          <w:lang w:val="en-US" w:eastAsia="zh-CN"/>
        </w:rPr>
        <w:t>Dynamic UEs grouping</w:t>
      </w:r>
    </w:p>
    <w:p>
      <w:pPr>
        <w:spacing w:after="180"/>
        <w:rPr>
          <w:rFonts w:ascii="Times New Roman" w:hAnsi="Times New Roman" w:cs="Times New Roman"/>
          <w:sz w:val="20"/>
          <w:szCs w:val="20"/>
        </w:rPr>
      </w:pPr>
      <w:r>
        <w:rPr>
          <w:rFonts w:ascii="Times New Roman" w:hAnsi="Times New Roman" w:cs="Times New Roman"/>
          <w:sz w:val="20"/>
          <w:szCs w:val="20"/>
          <w:lang w:val="en-GB"/>
        </w:rPr>
        <w:t xml:space="preserve">Compared with LTE </w:t>
      </w:r>
      <w:r>
        <w:rPr>
          <w:rFonts w:ascii="Times New Roman" w:hAnsi="Times New Roman" w:cs="Times New Roman"/>
          <w:sz w:val="20"/>
          <w:szCs w:val="20"/>
        </w:rPr>
        <w:t>SC-PTM</w:t>
      </w:r>
      <w:r>
        <w:rPr>
          <w:rFonts w:ascii="Times New Roman" w:hAnsi="Times New Roman" w:cs="Times New Roman"/>
          <w:sz w:val="20"/>
          <w:szCs w:val="20"/>
          <w:lang w:val="en-GB"/>
        </w:rPr>
        <w:t xml:space="preserve">, one of the most significant features of NR </w:t>
      </w:r>
      <w:r>
        <w:rPr>
          <w:rFonts w:ascii="Times New Roman" w:hAnsi="Times New Roman" w:cs="Times New Roman"/>
          <w:sz w:val="20"/>
          <w:szCs w:val="20"/>
        </w:rPr>
        <w:t xml:space="preserve">MBS </w:t>
      </w:r>
      <w:r>
        <w:rPr>
          <w:rFonts w:ascii="Times New Roman" w:hAnsi="Times New Roman" w:cs="Times New Roman"/>
          <w:sz w:val="20"/>
          <w:szCs w:val="20"/>
          <w:lang w:val="en-GB"/>
        </w:rPr>
        <w:t xml:space="preserve">is beam sweeping. As the carrier frequency of NR </w:t>
      </w:r>
      <w:r>
        <w:rPr>
          <w:rFonts w:ascii="Times New Roman" w:hAnsi="Times New Roman" w:cs="Times New Roman"/>
          <w:sz w:val="20"/>
          <w:szCs w:val="20"/>
        </w:rPr>
        <w:t>can be</w:t>
      </w:r>
      <w:r>
        <w:rPr>
          <w:rFonts w:ascii="Times New Roman" w:hAnsi="Times New Roman" w:cs="Times New Roman"/>
          <w:sz w:val="20"/>
          <w:szCs w:val="20"/>
          <w:lang w:val="en-GB"/>
        </w:rPr>
        <w:t xml:space="preserve"> much higher than LTE, NR has to introduce the beam sweeping for </w:t>
      </w:r>
      <w:r>
        <w:rPr>
          <w:rFonts w:ascii="Times New Roman" w:hAnsi="Times New Roman" w:cs="Times New Roman"/>
          <w:sz w:val="20"/>
          <w:szCs w:val="20"/>
        </w:rPr>
        <w:t>broadcast type information (such as, SSB, SIB, paging, etc.)</w:t>
      </w:r>
      <w:r>
        <w:rPr>
          <w:rFonts w:ascii="Times New Roman" w:hAnsi="Times New Roman" w:cs="Times New Roman"/>
          <w:sz w:val="20"/>
          <w:szCs w:val="20"/>
          <w:lang w:val="en-GB"/>
        </w:rPr>
        <w:t xml:space="preserve"> to guarantee the same level of coverage as LTE. </w:t>
      </w:r>
      <w:r>
        <w:rPr>
          <w:rFonts w:ascii="Times New Roman" w:hAnsi="Times New Roman" w:cs="Times New Roman"/>
          <w:sz w:val="20"/>
          <w:szCs w:val="20"/>
        </w:rPr>
        <w:t xml:space="preserve">During discussion of beam sweeping transmission for RRC_IDLE/RRC_INACTIVE UEs, the following agreement was reached in RAN1#104-e meeting. Then, the association rule between PDCCH MOs and SSBs can be further studied.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255"/>
                <w:numId w:val="0"/>
              </w:num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numPr>
                <w:ilvl w:val="255"/>
                <w:numId w:val="0"/>
              </w:numPr>
              <w:spacing w:before="0" w:line="240" w:lineRule="auto"/>
              <w:rPr>
                <w:rFonts w:ascii="Times New Roman" w:hAnsi="Times New Roman" w:cs="Times New Roman"/>
                <w:sz w:val="18"/>
                <w:szCs w:val="20"/>
              </w:rPr>
            </w:pPr>
            <w:r>
              <w:rPr>
                <w:rFonts w:ascii="Times New Roman" w:hAnsi="Times New Roman" w:cs="Times New Roman"/>
                <w:sz w:val="18"/>
                <w:szCs w:val="20"/>
              </w:rPr>
              <w:t>For RRC_IDLE/RRC_INACTIVE UEs, for broadcast reception, the UE may assume that group-common PDCCH/PDSCH is QCL’d with SSB.</w:t>
            </w:r>
          </w:p>
          <w:p>
            <w:pPr>
              <w:numPr>
                <w:ilvl w:val="0"/>
                <w:numId w:val="17"/>
              </w:num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It is up to UE implementation whether UE monitors monitoring occasions corresponding to all SSB indexes or monitoring occasions corresponding to a subset of all SSB indexes. </w:t>
            </w:r>
          </w:p>
          <w:p>
            <w:pPr>
              <w:numPr>
                <w:ilvl w:val="0"/>
                <w:numId w:val="17"/>
              </w:numPr>
              <w:spacing w:before="0" w:line="240" w:lineRule="auto"/>
              <w:rPr>
                <w:rFonts w:ascii="Times New Roman" w:hAnsi="Times New Roman" w:cs="Times New Roman"/>
                <w:sz w:val="18"/>
                <w:szCs w:val="20"/>
              </w:rPr>
            </w:pPr>
            <w:r>
              <w:rPr>
                <w:rFonts w:ascii="Times New Roman" w:hAnsi="Times New Roman" w:cs="Times New Roman"/>
                <w:sz w:val="18"/>
                <w:szCs w:val="20"/>
              </w:rPr>
              <w:t>FFS: association rules between SSB indexes and UE monitoring occasions.</w:t>
            </w:r>
          </w:p>
          <w:p>
            <w:pPr>
              <w:numPr>
                <w:ilvl w:val="0"/>
                <w:numId w:val="17"/>
              </w:numPr>
              <w:spacing w:before="0" w:line="240" w:lineRule="auto"/>
              <w:rPr>
                <w:rFonts w:ascii="Times New Roman" w:hAnsi="Times New Roman" w:cs="Times New Roman"/>
                <w:sz w:val="18"/>
                <w:szCs w:val="20"/>
              </w:rPr>
            </w:pPr>
            <w:r>
              <w:rPr>
                <w:rFonts w:ascii="Times New Roman" w:hAnsi="Times New Roman" w:cs="Times New Roman"/>
                <w:sz w:val="18"/>
                <w:szCs w:val="20"/>
              </w:rPr>
              <w:t>FFS: group-common PDCCH/PDSCH is QCl’d with TRS if configured.</w:t>
            </w:r>
          </w:p>
        </w:tc>
      </w:tr>
    </w:tbl>
    <w:p>
      <w:pPr>
        <w:spacing w:after="180"/>
        <w:rPr>
          <w:rFonts w:ascii="Times New Roman" w:hAnsi="Times New Roman" w:cs="Times New Roman"/>
          <w:sz w:val="20"/>
          <w:szCs w:val="20"/>
          <w:lang w:val="en-GB"/>
        </w:rPr>
      </w:pPr>
    </w:p>
    <w:p>
      <w:pPr>
        <w:spacing w:after="180"/>
        <w:rPr>
          <w:rFonts w:ascii="Times New Roman" w:hAnsi="Times New Roman" w:cs="Times New Roman"/>
          <w:sz w:val="20"/>
          <w:szCs w:val="20"/>
        </w:rPr>
      </w:pPr>
      <w:r>
        <w:rPr>
          <w:rFonts w:ascii="Times New Roman" w:hAnsi="Times New Roman" w:cs="Times New Roman"/>
          <w:sz w:val="20"/>
          <w:szCs w:val="20"/>
          <w:lang w:val="en-GB"/>
        </w:rPr>
        <w:t xml:space="preserve">For NR multicast transmission, UEs in the same beam direction will be divided into the same </w:t>
      </w:r>
      <w:r>
        <w:rPr>
          <w:rFonts w:ascii="Times New Roman" w:hAnsi="Times New Roman" w:cs="Times New Roman"/>
          <w:sz w:val="20"/>
          <w:szCs w:val="20"/>
        </w:rPr>
        <w:t xml:space="preserve">‘multicast transmission </w:t>
      </w:r>
      <w:r>
        <w:rPr>
          <w:rFonts w:ascii="Times New Roman" w:hAnsi="Times New Roman" w:cs="Times New Roman"/>
          <w:sz w:val="20"/>
          <w:szCs w:val="20"/>
          <w:lang w:val="en-GB"/>
        </w:rPr>
        <w:t>group</w:t>
      </w:r>
      <w:r>
        <w:rPr>
          <w:rFonts w:ascii="Times New Roman" w:hAnsi="Times New Roman" w:cs="Times New Roman"/>
          <w:sz w:val="20"/>
          <w:szCs w:val="20"/>
        </w:rPr>
        <w:t>’</w:t>
      </w:r>
      <w:r>
        <w:rPr>
          <w:rFonts w:ascii="Times New Roman" w:hAnsi="Times New Roman" w:cs="Times New Roman"/>
          <w:sz w:val="20"/>
          <w:szCs w:val="20"/>
          <w:lang w:val="en-GB"/>
        </w:rPr>
        <w:t xml:space="preserve">, that is, </w:t>
      </w:r>
      <w:r>
        <w:rPr>
          <w:rFonts w:ascii="Times New Roman" w:hAnsi="Times New Roman" w:cs="Times New Roman"/>
          <w:sz w:val="20"/>
          <w:szCs w:val="20"/>
        </w:rPr>
        <w:t>a</w:t>
      </w:r>
      <w:r>
        <w:rPr>
          <w:rFonts w:ascii="Times New Roman" w:hAnsi="Times New Roman" w:cs="Times New Roman"/>
          <w:sz w:val="20"/>
          <w:szCs w:val="20"/>
          <w:lang w:val="en-GB"/>
        </w:rPr>
        <w:t xml:space="preserve"> same CORESET</w:t>
      </w:r>
      <w:r>
        <w:rPr>
          <w:rFonts w:ascii="Times New Roman" w:hAnsi="Times New Roman" w:cs="Times New Roman"/>
          <w:sz w:val="20"/>
          <w:szCs w:val="20"/>
        </w:rPr>
        <w:t xml:space="preserve"> is shared by them for GC-PDCCH monitoring</w:t>
      </w:r>
      <w:r>
        <w:rPr>
          <w:rFonts w:ascii="Times New Roman" w:hAnsi="Times New Roman" w:cs="Times New Roman"/>
          <w:sz w:val="20"/>
          <w:szCs w:val="20"/>
          <w:lang w:val="en-GB"/>
        </w:rPr>
        <w:t xml:space="preserve">, and to determine how to receive </w:t>
      </w:r>
      <w:r>
        <w:rPr>
          <w:rFonts w:ascii="Times New Roman" w:hAnsi="Times New Roman" w:cs="Times New Roman"/>
          <w:sz w:val="20"/>
          <w:szCs w:val="20"/>
        </w:rPr>
        <w:t xml:space="preserve">the </w:t>
      </w:r>
      <w:r>
        <w:rPr>
          <w:rFonts w:ascii="Times New Roman" w:hAnsi="Times New Roman" w:cs="Times New Roman"/>
          <w:sz w:val="20"/>
          <w:szCs w:val="20"/>
          <w:lang w:val="en-GB"/>
        </w:rPr>
        <w:t>GC-PDCCH according to the TCI state corresponding to the CORESET indicated by MAC</w:t>
      </w:r>
      <w:r>
        <w:rPr>
          <w:rFonts w:ascii="Times New Roman" w:hAnsi="Times New Roman" w:cs="Times New Roman"/>
          <w:sz w:val="20"/>
          <w:szCs w:val="20"/>
        </w:rPr>
        <w:t>-</w:t>
      </w:r>
      <w:r>
        <w:rPr>
          <w:rFonts w:ascii="Times New Roman" w:hAnsi="Times New Roman" w:cs="Times New Roman"/>
          <w:sz w:val="20"/>
          <w:szCs w:val="20"/>
          <w:lang w:val="en-GB"/>
        </w:rPr>
        <w:t xml:space="preserve">CE. </w:t>
      </w:r>
      <w:r>
        <w:rPr>
          <w:rFonts w:ascii="Times New Roman" w:hAnsi="Times New Roman" w:cs="Times New Roman"/>
          <w:sz w:val="20"/>
          <w:szCs w:val="20"/>
        </w:rPr>
        <w:t xml:space="preserve">A UE </w:t>
      </w:r>
      <w:r>
        <w:rPr>
          <w:rFonts w:ascii="Times New Roman" w:hAnsi="Times New Roman" w:cs="Times New Roman"/>
          <w:sz w:val="20"/>
          <w:szCs w:val="20"/>
          <w:lang w:val="en-GB"/>
        </w:rPr>
        <w:t xml:space="preserve">in </w:t>
      </w:r>
      <w:r>
        <w:rPr>
          <w:rFonts w:ascii="Times New Roman" w:hAnsi="Times New Roman" w:cs="Times New Roman"/>
          <w:sz w:val="20"/>
          <w:szCs w:val="20"/>
        </w:rPr>
        <w:t>the</w:t>
      </w:r>
      <w:r>
        <w:rPr>
          <w:rFonts w:ascii="Times New Roman" w:hAnsi="Times New Roman" w:cs="Times New Roman"/>
          <w:sz w:val="20"/>
          <w:szCs w:val="20"/>
          <w:lang w:val="en-GB"/>
        </w:rPr>
        <w:t xml:space="preserve"> group </w:t>
      </w:r>
      <w:r>
        <w:rPr>
          <w:rFonts w:ascii="Times New Roman" w:hAnsi="Times New Roman" w:cs="Times New Roman"/>
          <w:sz w:val="20"/>
          <w:szCs w:val="20"/>
        </w:rPr>
        <w:t>should be configured with a new TCI state for GC-PDCCH monitoring if</w:t>
      </w:r>
      <w:r>
        <w:rPr>
          <w:rFonts w:ascii="Times New Roman" w:hAnsi="Times New Roman" w:cs="Times New Roman"/>
          <w:sz w:val="20"/>
          <w:szCs w:val="20"/>
          <w:lang w:val="en-GB"/>
        </w:rPr>
        <w:t xml:space="preserve"> the beam direction of </w:t>
      </w:r>
      <w:r>
        <w:rPr>
          <w:rFonts w:ascii="Times New Roman" w:hAnsi="Times New Roman" w:cs="Times New Roman"/>
          <w:sz w:val="20"/>
          <w:szCs w:val="20"/>
        </w:rPr>
        <w:t>this</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UE </w:t>
      </w:r>
      <w:r>
        <w:rPr>
          <w:rFonts w:ascii="Times New Roman" w:hAnsi="Times New Roman" w:cs="Times New Roman"/>
          <w:sz w:val="20"/>
          <w:szCs w:val="20"/>
          <w:lang w:val="en-GB"/>
        </w:rPr>
        <w:t>change</w:t>
      </w:r>
      <w:r>
        <w:rPr>
          <w:rFonts w:ascii="Times New Roman" w:hAnsi="Times New Roman" w:cs="Times New Roman"/>
          <w:sz w:val="20"/>
          <w:szCs w:val="20"/>
        </w:rPr>
        <w:t xml:space="preserve">d. </w:t>
      </w:r>
    </w:p>
    <w:p>
      <w:pPr>
        <w:spacing w:after="180"/>
        <w:rPr>
          <w:rFonts w:ascii="Times New Roman" w:hAnsi="Times New Roman" w:cs="Times New Roman"/>
          <w:sz w:val="20"/>
          <w:szCs w:val="20"/>
          <w:lang w:val="en-GB"/>
        </w:rPr>
      </w:pPr>
      <w:r>
        <w:rPr>
          <w:rFonts w:ascii="Times New Roman" w:hAnsi="Times New Roman" w:cs="Times New Roman"/>
          <w:sz w:val="20"/>
          <w:szCs w:val="20"/>
        </w:rPr>
        <w:t>Currently, for a UE specific PDCCH,</w:t>
      </w:r>
      <w:r>
        <w:rPr>
          <w:rFonts w:ascii="Times New Roman" w:hAnsi="Times New Roman" w:cs="Times New Roman"/>
          <w:sz w:val="20"/>
          <w:szCs w:val="20"/>
          <w:lang w:val="en-GB"/>
        </w:rPr>
        <w:t xml:space="preserve"> the network can </w:t>
      </w:r>
      <w:r>
        <w:rPr>
          <w:rFonts w:ascii="Times New Roman" w:hAnsi="Times New Roman" w:cs="Times New Roman"/>
          <w:sz w:val="20"/>
          <w:szCs w:val="20"/>
        </w:rPr>
        <w:t xml:space="preserve">simply </w:t>
      </w:r>
      <w:r>
        <w:rPr>
          <w:rFonts w:ascii="Times New Roman" w:hAnsi="Times New Roman" w:cs="Times New Roman"/>
          <w:sz w:val="20"/>
          <w:szCs w:val="20"/>
          <w:lang w:val="en-GB"/>
        </w:rPr>
        <w:t xml:space="preserve">update the TCI state of the CORESET through </w:t>
      </w:r>
      <w:r>
        <w:rPr>
          <w:rFonts w:ascii="Times New Roman" w:hAnsi="Times New Roman" w:cs="Times New Roman"/>
          <w:sz w:val="20"/>
          <w:szCs w:val="20"/>
        </w:rPr>
        <w:t xml:space="preserve">a </w:t>
      </w:r>
      <w:r>
        <w:rPr>
          <w:rFonts w:ascii="Times New Roman" w:hAnsi="Times New Roman" w:cs="Times New Roman"/>
          <w:sz w:val="20"/>
          <w:szCs w:val="20"/>
          <w:lang w:val="en-GB"/>
        </w:rPr>
        <w:t xml:space="preserve">MAC-CE, so that the UE can use the new TCI state as the reference for receiving PDCCH in the original CORESET. </w:t>
      </w:r>
    </w:p>
    <w:p>
      <w:pPr>
        <w:spacing w:after="180"/>
        <w:rPr>
          <w:rFonts w:ascii="Times New Roman" w:hAnsi="Times New Roman" w:cs="Times New Roman"/>
          <w:sz w:val="20"/>
          <w:szCs w:val="20"/>
        </w:rPr>
      </w:pPr>
      <w:r>
        <w:rPr>
          <w:rFonts w:ascii="Times New Roman" w:hAnsi="Times New Roman" w:cs="Times New Roman"/>
          <w:sz w:val="20"/>
          <w:szCs w:val="20"/>
          <w:lang w:val="en-GB"/>
        </w:rPr>
        <w:t>For</w:t>
      </w:r>
      <w:r>
        <w:rPr>
          <w:rFonts w:ascii="Times New Roman" w:hAnsi="Times New Roman" w:cs="Times New Roman"/>
          <w:sz w:val="20"/>
          <w:szCs w:val="20"/>
        </w:rPr>
        <w:t xml:space="preserve"> multicast transmission scheduled by</w:t>
      </w:r>
      <w:r>
        <w:rPr>
          <w:rFonts w:ascii="Times New Roman" w:hAnsi="Times New Roman" w:cs="Times New Roman"/>
          <w:sz w:val="20"/>
          <w:szCs w:val="20"/>
          <w:lang w:val="en-GB"/>
        </w:rPr>
        <w:t xml:space="preserve"> GC-PDCCH, the network cannot change the TCI state of this CORESET </w:t>
      </w:r>
      <w:r>
        <w:rPr>
          <w:rFonts w:ascii="Times New Roman" w:hAnsi="Times New Roman" w:cs="Times New Roman"/>
          <w:sz w:val="20"/>
          <w:szCs w:val="20"/>
        </w:rPr>
        <w:t>as</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other </w:t>
      </w:r>
      <w:r>
        <w:rPr>
          <w:rFonts w:ascii="Times New Roman" w:hAnsi="Times New Roman" w:cs="Times New Roman"/>
          <w:sz w:val="20"/>
          <w:szCs w:val="20"/>
          <w:lang w:val="en-GB"/>
        </w:rPr>
        <w:t xml:space="preserve">UEs in the same </w:t>
      </w:r>
      <w:r>
        <w:rPr>
          <w:rFonts w:ascii="Times New Roman" w:hAnsi="Times New Roman" w:cs="Times New Roman"/>
          <w:sz w:val="20"/>
          <w:szCs w:val="20"/>
        </w:rPr>
        <w:t xml:space="preserve">multicast transmission group </w:t>
      </w:r>
      <w:r>
        <w:rPr>
          <w:rFonts w:ascii="Times New Roman" w:hAnsi="Times New Roman" w:cs="Times New Roman"/>
          <w:sz w:val="20"/>
          <w:szCs w:val="20"/>
          <w:lang w:val="en-GB"/>
        </w:rPr>
        <w:t xml:space="preserve">still need to receive PDCCH according to the original TCI state of the original CORESET. Therefore, </w:t>
      </w:r>
      <w:r>
        <w:rPr>
          <w:rFonts w:ascii="Times New Roman" w:hAnsi="Times New Roman" w:cs="Times New Roman"/>
          <w:sz w:val="20"/>
          <w:szCs w:val="20"/>
        </w:rPr>
        <w:t xml:space="preserve">the </w:t>
      </w:r>
      <w:r>
        <w:rPr>
          <w:rFonts w:ascii="Times New Roman" w:hAnsi="Times New Roman" w:cs="Times New Roman"/>
          <w:sz w:val="20"/>
          <w:szCs w:val="20"/>
          <w:lang w:val="en-GB"/>
        </w:rPr>
        <w:t>only</w:t>
      </w:r>
      <w:r>
        <w:rPr>
          <w:rFonts w:ascii="Times New Roman" w:hAnsi="Times New Roman" w:cs="Times New Roman"/>
          <w:sz w:val="20"/>
          <w:szCs w:val="20"/>
        </w:rPr>
        <w:t xml:space="preserve"> way is to configure</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a </w:t>
      </w:r>
      <w:r>
        <w:rPr>
          <w:rFonts w:ascii="Times New Roman" w:hAnsi="Times New Roman" w:cs="Times New Roman"/>
          <w:sz w:val="20"/>
          <w:szCs w:val="20"/>
          <w:lang w:val="en-GB"/>
        </w:rPr>
        <w:t xml:space="preserve">new CORESET for the GC-PDCCH monitoring of this UE. This requires an RRC-level reconfiguration, which will bring large delay and a great impact on the </w:t>
      </w:r>
      <w:r>
        <w:rPr>
          <w:rFonts w:ascii="Times New Roman" w:hAnsi="Times New Roman" w:cs="Times New Roman"/>
          <w:sz w:val="20"/>
          <w:szCs w:val="20"/>
        </w:rPr>
        <w:t>QoS</w:t>
      </w:r>
      <w:r>
        <w:rPr>
          <w:rFonts w:ascii="Times New Roman" w:hAnsi="Times New Roman" w:cs="Times New Roman"/>
          <w:sz w:val="20"/>
          <w:szCs w:val="20"/>
          <w:lang w:val="en-GB"/>
        </w:rPr>
        <w:t xml:space="preserve"> of service reception.</w:t>
      </w:r>
      <w:r>
        <w:rPr>
          <w:rFonts w:ascii="Times New Roman" w:hAnsi="Times New Roman" w:cs="Times New Roman"/>
          <w:sz w:val="20"/>
          <w:szCs w:val="20"/>
        </w:rPr>
        <w:t xml:space="preserve"> </w:t>
      </w:r>
    </w:p>
    <w:p>
      <w:pPr>
        <w:spacing w:after="180"/>
        <w:rPr>
          <w:rFonts w:ascii="Times New Roman" w:hAnsi="Times New Roman" w:cs="Times New Roman"/>
          <w:sz w:val="20"/>
          <w:szCs w:val="20"/>
        </w:rPr>
      </w:pPr>
      <w:r>
        <w:rPr>
          <w:rFonts w:ascii="Times New Roman" w:hAnsi="Times New Roman" w:cs="Times New Roman"/>
          <w:sz w:val="20"/>
          <w:szCs w:val="20"/>
        </w:rPr>
        <w:t xml:space="preserve">As an example shown in Figure-2, the UE originally served under the beam2 and received the GC-PDCCH within the MO2 determined by the CORESET and searchspace configurations. After the UE moves into the service area of beam1, the network needs to configure a new CORESET with new TCI state and searchspace for the UE, to further schedule the UE to continue receiving GC-PDCCH within the MO1. </w:t>
      </w:r>
    </w:p>
    <w:p>
      <w:pPr>
        <w:spacing w:before="120" w:beforeLines="50"/>
        <w:jc w:val="center"/>
      </w:pPr>
      <w:r>
        <w:rPr>
          <w:rFonts w:eastAsia="Times New Roman"/>
        </w:rPr>
        <w:object>
          <v:shape id="_x0000_i1025" o:spt="75" type="#_x0000_t75" style="height:100.5pt;width:336.6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Figure-2</w:t>
      </w:r>
      <w:r>
        <w:rPr>
          <w:rFonts w:hint="eastAsia" w:ascii="Times New Roman" w:hAnsi="Times New Roman" w:cs="Times New Roman"/>
          <w:b/>
          <w:bCs/>
          <w:sz w:val="20"/>
          <w:szCs w:val="20"/>
        </w:rPr>
        <w:t>:</w:t>
      </w:r>
      <w:r>
        <w:rPr>
          <w:rFonts w:ascii="Times New Roman" w:hAnsi="Times New Roman" w:cs="Times New Roman"/>
          <w:b/>
          <w:bCs/>
          <w:sz w:val="20"/>
          <w:szCs w:val="20"/>
        </w:rPr>
        <w:t xml:space="preserve"> Grouping management of UEs receiving multicast service</w:t>
      </w:r>
    </w:p>
    <w:p>
      <w:pPr>
        <w:spacing w:after="180"/>
        <w:rPr>
          <w:rFonts w:ascii="Times New Roman" w:hAnsi="Times New Roman" w:cs="Times New Roman"/>
          <w:sz w:val="20"/>
          <w:szCs w:val="20"/>
        </w:rPr>
      </w:pPr>
      <w:r>
        <w:rPr>
          <w:rFonts w:ascii="Times New Roman" w:hAnsi="Times New Roman" w:cs="Times New Roman"/>
          <w:sz w:val="20"/>
          <w:szCs w:val="20"/>
        </w:rPr>
        <w:t xml:space="preserve">Another way for changing UE group dynamically is defining beam sweeping for multicast transmission. More specifically, </w:t>
      </w:r>
    </w:p>
    <w:p>
      <w:pPr>
        <w:numPr>
          <w:ilvl w:val="0"/>
          <w:numId w:val="18"/>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Configuring CORESET and search space for GC-PDCCH monitoring to a group of UEs receiving the multicast service</w:t>
      </w:r>
    </w:p>
    <w:p>
      <w:pPr>
        <w:numPr>
          <w:ilvl w:val="0"/>
          <w:numId w:val="18"/>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Defining the association between GC-PDCCH MOs and SSBs/CSI-RSs, for example, GC-PDCCH MO1 is associated with RS for beam1 and GC-PDCCH MO2 is associated with RS for beam2, etc. </w:t>
      </w:r>
    </w:p>
    <w:p>
      <w:pPr>
        <w:numPr>
          <w:ilvl w:val="0"/>
          <w:numId w:val="18"/>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Dynamic switching MOs from MO2 to MO1 for GC-PDCCH monitoring when the</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UE moves between different </w:t>
      </w:r>
      <w:r>
        <w:rPr>
          <w:rFonts w:ascii="Times New Roman" w:hAnsi="Times New Roman" w:cs="Times New Roman"/>
          <w:sz w:val="20"/>
          <w:szCs w:val="20"/>
          <w:lang w:val="en-GB"/>
        </w:rPr>
        <w:t>beam</w:t>
      </w:r>
      <w:r>
        <w:rPr>
          <w:rFonts w:ascii="Times New Roman" w:hAnsi="Times New Roman" w:cs="Times New Roman"/>
          <w:sz w:val="20"/>
          <w:szCs w:val="20"/>
        </w:rPr>
        <w:t>s.</w:t>
      </w:r>
    </w:p>
    <w:p>
      <w:pPr>
        <w:spacing w:after="180"/>
        <w:rPr>
          <w:rFonts w:ascii="Times New Roman" w:hAnsi="Times New Roman" w:cs="Times New Roman"/>
          <w:sz w:val="20"/>
          <w:szCs w:val="20"/>
        </w:rPr>
      </w:pPr>
      <w:r>
        <w:rPr>
          <w:rFonts w:ascii="Times New Roman" w:hAnsi="Times New Roman" w:cs="Times New Roman"/>
          <w:sz w:val="20"/>
          <w:szCs w:val="20"/>
        </w:rPr>
        <w:t xml:space="preserve">According to the above way, dynamic grouping of UEs for multicast reception can be achieved. </w:t>
      </w:r>
    </w:p>
    <w:p>
      <w:pPr>
        <w:pStyle w:val="114"/>
        <w:numPr>
          <w:ilvl w:val="255"/>
          <w:numId w:val="0"/>
        </w:num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eastAsia="宋体" w:cs="Times New Roman"/>
          <w:b/>
          <w:i/>
          <w:sz w:val="20"/>
          <w:szCs w:val="20"/>
          <w:lang w:val="en-US"/>
        </w:rPr>
        <w:t>6</w:t>
      </w:r>
      <w:r>
        <w:rPr>
          <w:rFonts w:ascii="Times New Roman" w:hAnsi="Times New Roman" w:cs="Times New Roman"/>
          <w:i/>
          <w:sz w:val="20"/>
          <w:szCs w:val="20"/>
        </w:rPr>
        <w:t>: For NR multicast, introduce beam sweeping via defining association between MOs of GC-PDCCH</w:t>
      </w:r>
      <w:r>
        <w:rPr>
          <w:rFonts w:ascii="Times New Roman" w:hAnsi="Times New Roman" w:cs="Times New Roman"/>
          <w:i/>
          <w:sz w:val="20"/>
          <w:szCs w:val="20"/>
          <w:lang w:val="en-US"/>
        </w:rPr>
        <w:t xml:space="preserve"> </w:t>
      </w:r>
      <w:r>
        <w:rPr>
          <w:rFonts w:ascii="Times New Roman" w:hAnsi="Times New Roman" w:cs="Times New Roman"/>
          <w:i/>
          <w:sz w:val="20"/>
          <w:szCs w:val="20"/>
        </w:rPr>
        <w:t>and SSBs or CSI-RSs.</w:t>
      </w:r>
    </w:p>
    <w:p>
      <w:pPr>
        <w:pStyle w:val="3"/>
        <w:rPr>
          <w:lang w:eastAsia="zh-CN"/>
        </w:rPr>
      </w:pPr>
      <w:r>
        <w:rPr>
          <w:rFonts w:hint="eastAsia"/>
          <w:lang w:val="en-US" w:eastAsia="zh-CN"/>
        </w:rPr>
        <w:t>3.3</w:t>
      </w:r>
      <w:r>
        <w:rPr>
          <w:rFonts w:hint="eastAsia"/>
          <w:lang w:val="en-US" w:eastAsia="zh-CN"/>
        </w:rPr>
        <w:tab/>
      </w:r>
      <w:r>
        <w:rPr>
          <w:rFonts w:hint="eastAsia"/>
          <w:lang w:eastAsia="zh-CN"/>
        </w:rPr>
        <w:t>DCI</w:t>
      </w:r>
      <w:r>
        <w:rPr>
          <w:lang w:eastAsia="zh-CN"/>
        </w:rPr>
        <w:t xml:space="preserve"> format</w:t>
      </w:r>
    </w:p>
    <w:p>
      <w:pPr>
        <w:spacing w:after="180"/>
        <w:rPr>
          <w:rFonts w:ascii="Times New Roman" w:hAnsi="Times New Roman" w:cs="Times New Roman"/>
          <w:sz w:val="20"/>
          <w:szCs w:val="20"/>
        </w:rPr>
      </w:pPr>
      <w:r>
        <w:rPr>
          <w:rFonts w:ascii="Times New Roman" w:hAnsi="Times New Roman" w:cs="Times New Roman"/>
          <w:sz w:val="20"/>
          <w:szCs w:val="20"/>
        </w:rPr>
        <w:t>As agreed in RAN1#10</w:t>
      </w:r>
      <w:r>
        <w:rPr>
          <w:rFonts w:hint="eastAsia" w:ascii="Times New Roman" w:hAnsi="Times New Roman" w:cs="Times New Roman"/>
          <w:sz w:val="20"/>
          <w:szCs w:val="20"/>
        </w:rPr>
        <w:t>6</w:t>
      </w:r>
      <w:r>
        <w:rPr>
          <w:rFonts w:ascii="Times New Roman" w:hAnsi="Times New Roman" w:cs="Times New Roman"/>
          <w:sz w:val="20"/>
          <w:szCs w:val="20"/>
        </w:rPr>
        <w:t xml:space="preserve">-e meeting, at least two DCI formats are supported for GC-PDCCH of Rel-17 MBS. One is based on DCI format 1_0, another is based on DCI format 1_1. The remaining issue is detail fields design and DCI size alignment.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The first DCI format</w:t>
            </w:r>
            <w:r>
              <w:rPr>
                <w:rFonts w:ascii="Times New Roman" w:hAnsi="Times New Roman" w:cs="Times New Roman"/>
                <w:bCs/>
                <w:sz w:val="18"/>
                <w:szCs w:val="20"/>
              </w:rPr>
              <w:t xml:space="preserve"> for GC-PDCCH </w:t>
            </w:r>
            <w:r>
              <w:rPr>
                <w:rFonts w:ascii="Times New Roman" w:hAnsi="Times New Roman" w:cs="Times New Roman"/>
                <w:sz w:val="18"/>
                <w:szCs w:val="20"/>
              </w:rPr>
              <w:t>uses the same fields as DCI format 1_0 with CRC scrambled by C-RNTI with the following modifications:</w:t>
            </w:r>
          </w:p>
          <w:p>
            <w:pPr>
              <w:pStyle w:val="114"/>
              <w:numPr>
                <w:ilvl w:val="0"/>
                <w:numId w:val="19"/>
              </w:numPr>
              <w:spacing w:before="0" w:after="0" w:line="240" w:lineRule="auto"/>
              <w:rPr>
                <w:rFonts w:ascii="Times New Roman" w:hAnsi="Times New Roman" w:cs="Times New Roman"/>
                <w:sz w:val="18"/>
                <w:szCs w:val="20"/>
              </w:rPr>
            </w:pPr>
            <w:r>
              <w:rPr>
                <w:rFonts w:ascii="Times New Roman" w:hAnsi="Times New Roman" w:eastAsia="Times New Roman" w:cs="Times New Roman"/>
                <w:sz w:val="18"/>
                <w:szCs w:val="20"/>
              </w:rPr>
              <w:t>At least</w:t>
            </w:r>
            <w:r>
              <w:rPr>
                <w:rFonts w:ascii="Times New Roman" w:hAnsi="Times New Roman" w:eastAsia="Times New Roman" w:cs="Times New Roman"/>
                <w:color w:val="FF0000"/>
                <w:sz w:val="18"/>
                <w:szCs w:val="20"/>
              </w:rPr>
              <w:t xml:space="preserve"> </w:t>
            </w:r>
            <w:r>
              <w:rPr>
                <w:rFonts w:ascii="Times New Roman" w:hAnsi="Times New Roman" w:eastAsia="Times New Roman" w:cs="Times New Roman"/>
                <w:sz w:val="18"/>
                <w:szCs w:val="20"/>
              </w:rPr>
              <w:t>‘</w:t>
            </w:r>
            <w:r>
              <w:rPr>
                <w:rFonts w:ascii="Times New Roman" w:hAnsi="Times New Roman" w:cs="Times New Roman"/>
                <w:sz w:val="18"/>
                <w:szCs w:val="20"/>
              </w:rPr>
              <w:t>Identifier for DCI formats</w:t>
            </w:r>
            <w:r>
              <w:rPr>
                <w:rFonts w:ascii="Times New Roman" w:hAnsi="Times New Roman" w:eastAsia="Times New Roman" w:cs="Times New Roman"/>
                <w:sz w:val="18"/>
                <w:szCs w:val="20"/>
              </w:rPr>
              <w:t>’ is not needed.</w:t>
            </w:r>
          </w:p>
          <w:p>
            <w:pPr>
              <w:pStyle w:val="114"/>
              <w:numPr>
                <w:ilvl w:val="1"/>
                <w:numId w:val="19"/>
              </w:numPr>
              <w:spacing w:before="0" w:after="0" w:line="240" w:lineRule="auto"/>
              <w:rPr>
                <w:rFonts w:ascii="Times New Roman" w:hAnsi="Times New Roman" w:cs="Times New Roman"/>
                <w:sz w:val="18"/>
                <w:szCs w:val="20"/>
              </w:rPr>
            </w:pPr>
            <w:r>
              <w:rPr>
                <w:rFonts w:ascii="Times New Roman" w:hAnsi="Times New Roman" w:eastAsia="Times New Roman" w:cs="Times New Roman"/>
                <w:sz w:val="18"/>
                <w:szCs w:val="20"/>
              </w:rPr>
              <w:t>FFS: Whether the field should be ignored and reserved, or should be removed.</w:t>
            </w:r>
          </w:p>
          <w:p>
            <w:pPr>
              <w:pStyle w:val="114"/>
              <w:numPr>
                <w:ilvl w:val="0"/>
                <w:numId w:val="0"/>
              </w:numPr>
              <w:spacing w:before="0" w:after="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The second DCI format for GC-PDCCH uses the same fields as DCI format 1_1 with the following modifications:</w:t>
            </w:r>
          </w:p>
          <w:p>
            <w:pPr>
              <w:pStyle w:val="114"/>
              <w:numPr>
                <w:ilvl w:val="0"/>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At least ‘Identifier for DCI formats</w:t>
            </w:r>
            <w:r>
              <w:rPr>
                <w:rFonts w:ascii="Times New Roman" w:hAnsi="Times New Roman" w:eastAsia="Times New Roman" w:cs="Times New Roman"/>
                <w:sz w:val="18"/>
                <w:szCs w:val="20"/>
              </w:rPr>
              <w:t>’ and ‘</w:t>
            </w:r>
            <w:r>
              <w:rPr>
                <w:rFonts w:ascii="Times New Roman" w:hAnsi="Times New Roman" w:cs="Times New Roman"/>
                <w:sz w:val="18"/>
                <w:szCs w:val="20"/>
              </w:rPr>
              <w:t>SRS request</w:t>
            </w:r>
            <w:r>
              <w:rPr>
                <w:rFonts w:ascii="Times New Roman" w:hAnsi="Times New Roman" w:eastAsia="Times New Roman" w:cs="Times New Roman"/>
                <w:sz w:val="18"/>
                <w:szCs w:val="20"/>
              </w:rPr>
              <w:t>’ are</w:t>
            </w:r>
            <w:r>
              <w:rPr>
                <w:rFonts w:ascii="Times New Roman" w:hAnsi="Times New Roman" w:cs="Times New Roman"/>
                <w:sz w:val="18"/>
                <w:szCs w:val="20"/>
              </w:rPr>
              <w:t xml:space="preserve"> not needed.</w:t>
            </w:r>
          </w:p>
          <w:p>
            <w:pPr>
              <w:pStyle w:val="114"/>
              <w:numPr>
                <w:ilvl w:val="1"/>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FFS whether the fields should be ignored and reserved, or should be removed.</w:t>
            </w:r>
          </w:p>
          <w:p>
            <w:pPr>
              <w:pStyle w:val="114"/>
              <w:numPr>
                <w:ilvl w:val="0"/>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Note: At least the configurable fields in DCI format 1_1 remain configurable for the second DCI format</w:t>
            </w:r>
          </w:p>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For </w:t>
            </w:r>
            <w:r>
              <w:rPr>
                <w:rFonts w:ascii="Times New Roman" w:hAnsi="Times New Roman" w:eastAsia="Times New Roman" w:cs="Times New Roman"/>
                <w:sz w:val="18"/>
                <w:szCs w:val="20"/>
              </w:rPr>
              <w:t>FDRA</w:t>
            </w:r>
            <w:r>
              <w:rPr>
                <w:rFonts w:ascii="Times New Roman" w:hAnsi="Times New Roman" w:cs="Times New Roman"/>
                <w:sz w:val="18"/>
                <w:szCs w:val="20"/>
              </w:rPr>
              <w:t xml:space="preserve"> determination of the first DCI format</w:t>
            </w:r>
            <w:r>
              <w:rPr>
                <w:rFonts w:ascii="Times New Roman" w:hAnsi="Times New Roman" w:cs="Times New Roman"/>
                <w:bCs/>
                <w:sz w:val="18"/>
                <w:szCs w:val="20"/>
              </w:rPr>
              <w:t xml:space="preserve"> for GC-PDCCH, down-select from Option 2 and updated Option 3.</w:t>
            </w:r>
          </w:p>
          <w:p>
            <w:pPr>
              <w:pStyle w:val="114"/>
              <w:numPr>
                <w:ilvl w:val="1"/>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Option 2:</w:t>
            </w:r>
          </w:p>
          <w:p>
            <w:pPr>
              <w:pStyle w:val="114"/>
              <w:numPr>
                <w:ilvl w:val="2"/>
                <w:numId w:val="19"/>
              </w:numPr>
              <w:spacing w:before="0" w:after="0" w:line="240" w:lineRule="auto"/>
              <w:rPr>
                <w:rFonts w:ascii="Times New Roman" w:hAnsi="Times New Roman" w:cs="Times New Roman"/>
                <w:sz w:val="18"/>
                <w:szCs w:val="20"/>
              </w:rPr>
            </w:pPr>
            <w:r>
              <w:rPr>
                <w:rFonts w:ascii="Times New Roman" w:hAnsi="Times New Roman" w:cs="Times New Roman"/>
                <w:position w:val="-10"/>
                <w:sz w:val="18"/>
                <w:szCs w:val="20"/>
              </w:rPr>
              <w:object>
                <v:shape id="_x0000_i1026" o:spt="75" type="#_x0000_t75" style="height:16.85pt;width:33.6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ascii="Times New Roman" w:hAnsi="Times New Roman" w:cs="Times New Roman"/>
                <w:sz w:val="18"/>
                <w:szCs w:val="20"/>
              </w:rPr>
              <w:t xml:space="preserve"> is given by</w:t>
            </w:r>
          </w:p>
          <w:p>
            <w:pPr>
              <w:pStyle w:val="114"/>
              <w:numPr>
                <w:ilvl w:val="3"/>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the size of CORESET 0 if CORESET 0 is configured for the cell; and</w:t>
            </w:r>
          </w:p>
          <w:p>
            <w:pPr>
              <w:pStyle w:val="114"/>
              <w:numPr>
                <w:ilvl w:val="3"/>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the size of initial DL bandwidth part if CORESET 0 is not configured for the cell.</w:t>
            </w:r>
          </w:p>
          <w:p>
            <w:pPr>
              <w:pStyle w:val="114"/>
              <w:numPr>
                <w:ilvl w:val="2"/>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For </w:t>
            </w:r>
            <w:r>
              <w:rPr>
                <w:rFonts w:ascii="Times New Roman" w:hAnsi="Times New Roman" w:cs="Times New Roman"/>
                <w:color w:val="000000"/>
                <w:sz w:val="18"/>
                <w:szCs w:val="20"/>
              </w:rPr>
              <w:t>resource indication value (</w:t>
            </w:r>
            <w:r>
              <w:rPr>
                <w:rFonts w:ascii="Times New Roman" w:hAnsi="Times New Roman" w:cs="Times New Roman"/>
                <w:i/>
                <w:color w:val="000000"/>
                <w:sz w:val="18"/>
                <w:szCs w:val="20"/>
              </w:rPr>
              <w:t>RIV</w:t>
            </w:r>
            <w:r>
              <w:rPr>
                <w:rFonts w:ascii="Times New Roman" w:hAnsi="Times New Roman" w:cs="Times New Roman"/>
                <w:color w:val="000000"/>
                <w:sz w:val="18"/>
                <w:szCs w:val="20"/>
              </w:rPr>
              <w:t>) of downlink resource allocation type 1, the similar scheme as for the case that the DCI size for DCI format 1_0 in USS is derived from the size of DCI format 1_0 in CSS but applied to an active BWP is used.</w:t>
            </w:r>
          </w:p>
          <w:p>
            <w:pPr>
              <w:pStyle w:val="114"/>
              <w:numPr>
                <w:ilvl w:val="3"/>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FFS details, e.g., if the size of CFR (i.e. </w:t>
            </w:r>
            <m:oMath>
              <m:sSub>
                <m:sSubPr>
                  <m:ctrlPr>
                    <w:rPr>
                      <w:rFonts w:ascii="Cambria Math" w:hAnsi="Cambria Math" w:cs="Times New Roman"/>
                      <w:sz w:val="18"/>
                      <w:szCs w:val="20"/>
                    </w:rPr>
                  </m:ctrlPr>
                </m:sSubPr>
                <m:e>
                  <m:r>
                    <w:rPr>
                      <w:rFonts w:ascii="Cambria Math" w:hAnsi="Cambria Math" w:cs="Times New Roman"/>
                      <w:sz w:val="18"/>
                      <w:szCs w:val="20"/>
                    </w:rPr>
                    <m:t>N</m:t>
                  </m:r>
                  <m:ctrlPr>
                    <w:rPr>
                      <w:rFonts w:ascii="Cambria Math" w:hAnsi="Cambria Math" w:cs="Times New Roman"/>
                      <w:sz w:val="18"/>
                      <w:szCs w:val="20"/>
                    </w:rPr>
                  </m:ctrlPr>
                </m:e>
                <m:sub>
                  <m:r>
                    <w:rPr>
                      <w:rFonts w:ascii="Cambria Math" w:hAnsi="Cambria Math" w:cs="Times New Roman"/>
                      <w:sz w:val="18"/>
                      <w:szCs w:val="20"/>
                    </w:rPr>
                    <m:t>CFR</m:t>
                  </m:r>
                  <m:ctrlPr>
                    <w:rPr>
                      <w:rFonts w:ascii="Cambria Math" w:hAnsi="Cambria Math" w:cs="Times New Roman"/>
                      <w:sz w:val="18"/>
                      <w:szCs w:val="20"/>
                    </w:rPr>
                  </m:ctrlPr>
                </m:sub>
              </m:sSub>
            </m:oMath>
            <w:r>
              <w:rPr>
                <w:rFonts w:ascii="Times New Roman" w:hAnsi="Times New Roman" w:cs="Times New Roman"/>
                <w:sz w:val="18"/>
                <w:szCs w:val="20"/>
              </w:rPr>
              <w:t xml:space="preserve">) is larger than the size of CORESET0/initial DL bandwidth part, the </w:t>
            </w:r>
            <w:r>
              <w:rPr>
                <w:rFonts w:ascii="Times New Roman" w:hAnsi="Times New Roman" w:cs="Times New Roman"/>
                <w:color w:val="000000"/>
                <w:sz w:val="18"/>
                <w:szCs w:val="20"/>
              </w:rPr>
              <w:t>resource indication value (</w:t>
            </w:r>
            <w:r>
              <w:rPr>
                <w:rFonts w:ascii="Times New Roman" w:hAnsi="Times New Roman" w:cs="Times New Roman"/>
                <w:i/>
                <w:color w:val="000000"/>
                <w:sz w:val="18"/>
                <w:szCs w:val="20"/>
              </w:rPr>
              <w:t>RIV</w:t>
            </w:r>
            <w:r>
              <w:rPr>
                <w:rFonts w:ascii="Times New Roman" w:hAnsi="Times New Roman" w:cs="Times New Roman"/>
                <w:color w:val="000000"/>
                <w:sz w:val="18"/>
                <w:szCs w:val="20"/>
              </w:rPr>
              <w:t xml:space="preserve">) is defined as in section 5.1.2.2.2 in TS38.214, where </w:t>
            </w:r>
            <w:r>
              <w:rPr>
                <w:rFonts w:ascii="Times New Roman" w:hAnsi="Times New Roman" w:cs="Times New Roman"/>
                <w:sz w:val="18"/>
                <w:szCs w:val="20"/>
              </w:rPr>
              <w:t xml:space="preserve">K is the maximum value from set {1, 2, 4, 8} which satisfies </w:t>
            </w:r>
            <m:oMath>
              <m:r>
                <m:rPr>
                  <m:sty m:val="p"/>
                </m:rPr>
                <w:rPr>
                  <w:rFonts w:ascii="Cambria Math" w:hAnsi="Cambria Math" w:cs="Times New Roman"/>
                  <w:sz w:val="18"/>
                  <w:szCs w:val="20"/>
                </w:rPr>
                <m:t>K≤</m:t>
              </m:r>
              <m:d>
                <m:dPr>
                  <m:begChr m:val="⌊"/>
                  <m:endChr m:val="⌋"/>
                  <m:ctrlPr>
                    <w:rPr>
                      <w:rFonts w:ascii="Cambria Math" w:hAnsi="Cambria Math" w:cs="Times New Roman"/>
                      <w:sz w:val="18"/>
                      <w:szCs w:val="20"/>
                    </w:rPr>
                  </m:ctrlPr>
                </m:dPr>
                <m:e>
                  <m:sSub>
                    <m:sSubPr>
                      <m:ctrlPr>
                        <w:rPr>
                          <w:rFonts w:ascii="Cambria Math" w:hAnsi="Cambria Math" w:cs="Times New Roman"/>
                          <w:sz w:val="18"/>
                          <w:szCs w:val="20"/>
                        </w:rPr>
                      </m:ctrlPr>
                    </m:sSubPr>
                    <m:e>
                      <m:r>
                        <w:rPr>
                          <w:rFonts w:ascii="Cambria Math" w:hAnsi="Cambria Math" w:cs="Times New Roman"/>
                          <w:sz w:val="18"/>
                          <w:szCs w:val="20"/>
                        </w:rPr>
                        <m:t>N</m:t>
                      </m:r>
                      <m:ctrlPr>
                        <w:rPr>
                          <w:rFonts w:ascii="Cambria Math" w:hAnsi="Cambria Math" w:cs="Times New Roman"/>
                          <w:sz w:val="18"/>
                          <w:szCs w:val="20"/>
                        </w:rPr>
                      </m:ctrlPr>
                    </m:e>
                    <m:sub>
                      <m:r>
                        <w:rPr>
                          <w:rFonts w:ascii="Cambria Math" w:hAnsi="Cambria Math" w:cs="Times New Roman"/>
                          <w:sz w:val="18"/>
                          <w:szCs w:val="20"/>
                        </w:rPr>
                        <m:t>CFR</m:t>
                      </m:r>
                      <m:ctrlPr>
                        <w:rPr>
                          <w:rFonts w:ascii="Cambria Math" w:hAnsi="Cambria Math" w:cs="Times New Roman"/>
                          <w:sz w:val="18"/>
                          <w:szCs w:val="20"/>
                        </w:rPr>
                      </m:ctrlPr>
                    </m:sub>
                  </m:sSub>
                  <m:r>
                    <w:rPr>
                      <w:rFonts w:ascii="Cambria Math" w:hAnsi="Cambria Math" w:cs="Times New Roman"/>
                      <w:sz w:val="18"/>
                      <w:szCs w:val="20"/>
                    </w:rPr>
                    <m:t>/</m:t>
                  </m:r>
                  <m:sSubSup>
                    <m:sSubSupPr>
                      <m:ctrlPr>
                        <w:rPr>
                          <w:rFonts w:ascii="Cambria Math" w:hAnsi="Cambria Math" w:cs="Times New Roman"/>
                          <w:i/>
                          <w:sz w:val="18"/>
                          <w:szCs w:val="20"/>
                        </w:rPr>
                      </m:ctrlPr>
                    </m:sSubSupPr>
                    <m:e>
                      <m:r>
                        <w:rPr>
                          <w:rFonts w:ascii="Cambria Math" w:hAnsi="Cambria Math" w:cs="Times New Roman"/>
                          <w:sz w:val="18"/>
                          <w:szCs w:val="20"/>
                        </w:rPr>
                        <m:t>N</m:t>
                      </m:r>
                      <m:ctrlPr>
                        <w:rPr>
                          <w:rFonts w:ascii="Cambria Math" w:hAnsi="Cambria Math" w:cs="Times New Roman"/>
                          <w:i/>
                          <w:sz w:val="18"/>
                          <w:szCs w:val="20"/>
                        </w:rPr>
                      </m:ctrlPr>
                    </m:e>
                    <m:sub>
                      <m:r>
                        <w:rPr>
                          <w:rFonts w:ascii="Cambria Math" w:hAnsi="Cambria Math" w:cs="Times New Roman"/>
                          <w:sz w:val="18"/>
                          <w:szCs w:val="20"/>
                        </w:rPr>
                        <m:t>BWP</m:t>
                      </m:r>
                      <m:ctrlPr>
                        <w:rPr>
                          <w:rFonts w:ascii="Cambria Math" w:hAnsi="Cambria Math" w:cs="Times New Roman"/>
                          <w:i/>
                          <w:sz w:val="18"/>
                          <w:szCs w:val="20"/>
                        </w:rPr>
                      </m:ctrlPr>
                    </m:sub>
                    <m:sup>
                      <m:r>
                        <w:rPr>
                          <w:rFonts w:ascii="Cambria Math" w:hAnsi="Cambria Math" w:cs="Times New Roman"/>
                          <w:sz w:val="18"/>
                          <w:szCs w:val="20"/>
                        </w:rPr>
                        <m:t>initial</m:t>
                      </m:r>
                      <m:ctrlPr>
                        <w:rPr>
                          <w:rFonts w:ascii="Cambria Math" w:hAnsi="Cambria Math" w:cs="Times New Roman"/>
                          <w:i/>
                          <w:sz w:val="18"/>
                          <w:szCs w:val="20"/>
                        </w:rPr>
                      </m:ctrlPr>
                    </m:sup>
                  </m:sSubSup>
                  <m:ctrlPr>
                    <w:rPr>
                      <w:rFonts w:ascii="Cambria Math" w:hAnsi="Cambria Math" w:cs="Times New Roman"/>
                      <w:sz w:val="18"/>
                      <w:szCs w:val="20"/>
                    </w:rPr>
                  </m:ctrlPr>
                </m:e>
              </m:d>
            </m:oMath>
            <w:r>
              <w:rPr>
                <w:rFonts w:ascii="Times New Roman" w:hAnsi="Times New Roman" w:cs="Times New Roman"/>
                <w:sz w:val="18"/>
                <w:szCs w:val="20"/>
              </w:rPr>
              <w:t xml:space="preserve">;otherwise, </w:t>
            </w:r>
            <m:oMath>
              <m:r>
                <m:rPr>
                  <m:sty m:val="p"/>
                </m:rPr>
                <w:rPr>
                  <w:rFonts w:ascii="Cambria Math" w:hAnsi="Cambria Math" w:cs="Times New Roman"/>
                  <w:sz w:val="18"/>
                  <w:szCs w:val="20"/>
                </w:rPr>
                <m:t>K=1.</m:t>
              </m:r>
            </m:oMath>
          </w:p>
          <w:p>
            <w:pPr>
              <w:pStyle w:val="114"/>
              <w:numPr>
                <w:ilvl w:val="1"/>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Option 3: </w:t>
            </w:r>
            <w:r>
              <w:rPr>
                <w:rFonts w:ascii="Times New Roman" w:hAnsi="Times New Roman" w:cs="Times New Roman"/>
                <w:position w:val="-10"/>
                <w:sz w:val="18"/>
                <w:szCs w:val="20"/>
              </w:rPr>
              <w:object>
                <v:shape id="_x0000_i1027" o:spt="75" type="#_x0000_t75" style="height:16.85pt;width:33.6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2">
                  <o:LockedField>false</o:LockedField>
                </o:OLEObject>
              </w:object>
            </w:r>
            <w:r>
              <w:rPr>
                <w:rFonts w:ascii="Times New Roman" w:hAnsi="Times New Roman" w:cs="Times New Roman"/>
                <w:sz w:val="18"/>
                <w:szCs w:val="20"/>
              </w:rPr>
              <w:t xml:space="preserve"> is given by the size of CFR in the active DL BWP</w:t>
            </w:r>
          </w:p>
          <w:p>
            <w:pPr>
              <w:pStyle w:val="114"/>
              <w:numPr>
                <w:ilvl w:val="2"/>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pPr>
              <w:pStyle w:val="114"/>
              <w:numPr>
                <w:ilvl w:val="2"/>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FFS: Whether the removed/reserved fields can be repurposed for FDRA</w:t>
            </w:r>
          </w:p>
          <w:p>
            <w:pPr>
              <w:pStyle w:val="114"/>
              <w:numPr>
                <w:ilvl w:val="2"/>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FFS: Solution for the case where the size of the first DCI format for GC-PDCCH prior to padding is smaller than the size of DCI format 1_0 monitored in CSS.</w:t>
            </w:r>
          </w:p>
          <w:p>
            <w:pPr>
              <w:spacing w:before="0" w:line="240" w:lineRule="auto"/>
              <w:rPr>
                <w:rFonts w:ascii="Times New Roman" w:hAnsi="Times New Roman" w:cs="Times New Roman"/>
                <w:sz w:val="18"/>
                <w:szCs w:val="20"/>
              </w:rPr>
            </w:pPr>
          </w:p>
        </w:tc>
      </w:tr>
    </w:tbl>
    <w:p>
      <w:pPr>
        <w:spacing w:after="180"/>
        <w:rPr>
          <w:rFonts w:ascii="Times New Roman" w:hAnsi="Times New Roman" w:cs="Times New Roman"/>
          <w:b/>
          <w:bCs/>
          <w:sz w:val="20"/>
          <w:szCs w:val="20"/>
          <w:u w:val="single"/>
        </w:rPr>
      </w:pPr>
    </w:p>
    <w:p>
      <w:pPr>
        <w:spacing w:after="180"/>
        <w:rPr>
          <w:rFonts w:ascii="Times New Roman" w:hAnsi="Times New Roman" w:cs="Times New Roman"/>
          <w:b/>
          <w:bCs/>
          <w:sz w:val="20"/>
          <w:szCs w:val="20"/>
          <w:u w:val="single"/>
        </w:rPr>
      </w:pPr>
      <w:r>
        <w:rPr>
          <w:rFonts w:hint="eastAsia" w:ascii="Times New Roman" w:hAnsi="Times New Roman" w:cs="Times New Roman"/>
          <w:b/>
          <w:bCs/>
          <w:sz w:val="20"/>
          <w:szCs w:val="20"/>
          <w:u w:val="single"/>
        </w:rPr>
        <w:t>Fields in the first DCI format</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For the first DCI format for GC-PDCCH, the following fields in DCI format 1_0 should be reused. </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Frequency domain resource assignment </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Time domain resource assignment</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VRB-to-PRB mapping</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Modulation and coding scheme</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New data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Redundancy version</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HARQ process number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Downlink assignment index</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PUCCH resource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PDSCH-to-HARQ_feedback timing indicator</w:t>
      </w:r>
    </w:p>
    <w:p>
      <w:pPr>
        <w:spacing w:before="120" w:beforeLines="50" w:after="180"/>
        <w:rPr>
          <w:rFonts w:ascii="Times New Roman" w:hAnsi="Times New Roman" w:cs="Times New Roman"/>
          <w:sz w:val="20"/>
          <w:szCs w:val="20"/>
        </w:rPr>
      </w:pPr>
      <w:r>
        <w:rPr>
          <w:rFonts w:hint="eastAsia" w:ascii="Times New Roman" w:hAnsi="Times New Roman" w:cs="Times New Roman"/>
          <w:sz w:val="20"/>
          <w:szCs w:val="20"/>
        </w:rPr>
        <w:t>In addition to Identifier for DCI formats field, the field of TPC command for scheduled PUCCH should also be removed from DCI format1_0 for unicast. There are different TPC adjustment requirements by different UEs. And a common indicator cannot meet the TPC adjustment requirements of all UEs.</w:t>
      </w:r>
    </w:p>
    <w:p>
      <w:pPr>
        <w:spacing w:after="180"/>
        <w:rPr>
          <w:rFonts w:ascii="Times New Roman" w:hAnsi="Times New Roman" w:cs="Times New Roman"/>
          <w:i/>
          <w:sz w:val="20"/>
          <w:szCs w:val="20"/>
        </w:rPr>
      </w:pPr>
      <w:bookmarkStart w:id="9" w:name="OLE_LINK34"/>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7</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the first DCI format</w:t>
      </w:r>
      <w:r>
        <w:rPr>
          <w:rFonts w:ascii="Times New Roman" w:hAnsi="Times New Roman" w:cs="Times New Roman"/>
          <w:bCs/>
          <w:i/>
          <w:sz w:val="20"/>
          <w:szCs w:val="20"/>
        </w:rPr>
        <w:t xml:space="preserve"> for GC-PDCCH</w:t>
      </w:r>
      <w:r>
        <w:rPr>
          <w:rFonts w:hint="eastAsia" w:ascii="Times New Roman" w:hAnsi="Times New Roman" w:cs="Times New Roman"/>
          <w:bCs/>
          <w:i/>
          <w:sz w:val="20"/>
          <w:szCs w:val="20"/>
        </w:rPr>
        <w:t xml:space="preserve">, </w:t>
      </w:r>
      <w:r>
        <w:rPr>
          <w:rFonts w:hint="eastAsia" w:ascii="Times New Roman" w:hAnsi="Times New Roman" w:cs="Times New Roman"/>
          <w:i/>
          <w:sz w:val="20"/>
          <w:szCs w:val="20"/>
        </w:rPr>
        <w:t>two fields</w:t>
      </w:r>
      <w:r>
        <w:rPr>
          <w:rFonts w:ascii="Times New Roman" w:hAnsi="Times New Roman" w:cs="Times New Roman"/>
          <w:i/>
          <w:sz w:val="20"/>
          <w:szCs w:val="20"/>
        </w:rPr>
        <w:t xml:space="preserve"> </w:t>
      </w:r>
      <w:r>
        <w:rPr>
          <w:rFonts w:hint="eastAsia" w:ascii="Times New Roman" w:hAnsi="Times New Roman" w:cs="Times New Roman"/>
          <w:i/>
          <w:sz w:val="20"/>
          <w:szCs w:val="20"/>
        </w:rPr>
        <w:t>(i.e., Identifier for DCI formats, TPC command for scheduled PUCCH) with 3 bits can be removed from DCI format 1_0 for unicast.</w:t>
      </w:r>
      <w:r>
        <w:rPr>
          <w:rFonts w:ascii="Times New Roman" w:hAnsi="Times New Roman" w:cs="Times New Roman"/>
          <w:bCs/>
          <w:i/>
          <w:sz w:val="20"/>
          <w:szCs w:val="20"/>
        </w:rPr>
        <w:t xml:space="preserve"> </w:t>
      </w:r>
    </w:p>
    <w:p>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FDRA determination of the first DCI format</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About FDRA field determination of the first DCI format, there are two options on the table as agreed in RAN1#106e. </w:t>
      </w:r>
    </w:p>
    <w:p>
      <w:pPr>
        <w:spacing w:after="180"/>
        <w:rPr>
          <w:rFonts w:ascii="Times New Roman" w:hAnsi="Times New Roman" w:cs="Times New Roman"/>
          <w:color w:val="000000"/>
          <w:sz w:val="20"/>
          <w:szCs w:val="20"/>
        </w:rPr>
      </w:pPr>
      <w:r>
        <w:rPr>
          <w:rFonts w:ascii="Times New Roman" w:hAnsi="Times New Roman" w:cs="Times New Roman"/>
          <w:color w:val="000000"/>
          <w:sz w:val="20"/>
          <w:szCs w:val="20"/>
        </w:rPr>
        <w:t>Option</w:t>
      </w:r>
      <w:r>
        <w:rPr>
          <w:rFonts w:hint="eastAsia" w:ascii="Times New Roman" w:hAnsi="Times New Roman" w:cs="Times New Roman"/>
          <w:color w:val="000000"/>
          <w:sz w:val="20"/>
          <w:szCs w:val="20"/>
        </w:rPr>
        <w:t xml:space="preserve"> </w:t>
      </w:r>
      <w:r>
        <w:rPr>
          <w:rFonts w:ascii="Times New Roman" w:hAnsi="Times New Roman" w:cs="Times New Roman"/>
          <w:color w:val="000000"/>
          <w:sz w:val="20"/>
          <w:szCs w:val="20"/>
        </w:rPr>
        <w:t>2 is an existing method, which is used to align size of DCI format 1_0 in USS with size of DCI format 1_0 in CSS when DCI size exceeds budget. When the size of the active BWP is greater than initial BWP, this mode can still indicate all frequency domains within the active BWP by expanding the indication granularity of resource allocation.</w:t>
      </w:r>
      <w:r>
        <w:rPr>
          <w:rFonts w:hint="eastAsia" w:ascii="Times New Roman" w:hAnsi="Times New Roman" w:cs="Times New Roman"/>
          <w:color w:val="000000"/>
          <w:sz w:val="20"/>
          <w:szCs w:val="20"/>
        </w:rPr>
        <w:t xml:space="preserve"> </w:t>
      </w:r>
    </w:p>
    <w:p>
      <w:pPr>
        <w:spacing w:after="180"/>
        <w:rPr>
          <w:rFonts w:ascii="Times New Roman" w:hAnsi="Times New Roman" w:cs="Times New Roman"/>
          <w:sz w:val="20"/>
          <w:szCs w:val="20"/>
        </w:rPr>
      </w:pPr>
      <w:r>
        <w:rPr>
          <w:rFonts w:hint="eastAsia" w:ascii="Times New Roman" w:hAnsi="Times New Roman" w:cs="Times New Roman"/>
          <w:color w:val="000000"/>
          <w:sz w:val="20"/>
          <w:szCs w:val="20"/>
        </w:rPr>
        <w:t xml:space="preserve">Regard option 3, the size of FDRA field in </w:t>
      </w:r>
      <w:r>
        <w:rPr>
          <w:rFonts w:ascii="Times New Roman" w:hAnsi="Times New Roman" w:cs="Times New Roman"/>
          <w:sz w:val="20"/>
          <w:szCs w:val="20"/>
        </w:rPr>
        <w:t xml:space="preserve">the first DCI format for GC-PDCCH </w:t>
      </w:r>
      <w:r>
        <w:rPr>
          <w:rFonts w:hint="eastAsia" w:ascii="Times New Roman" w:hAnsi="Times New Roman" w:cs="Times New Roman"/>
          <w:color w:val="000000"/>
          <w:sz w:val="20"/>
          <w:szCs w:val="20"/>
        </w:rPr>
        <w:t xml:space="preserve">is determined according to the size of CFR. If it is larger than </w:t>
      </w:r>
      <w:r>
        <w:rPr>
          <w:rFonts w:ascii="Times New Roman" w:hAnsi="Times New Roman" w:cs="Times New Roman"/>
          <w:sz w:val="20"/>
          <w:szCs w:val="20"/>
        </w:rPr>
        <w:t>the size of DCI format 1_0 monitored in CSS, the bit width of the FDRA field in the first DCI format for GC-PDCCH is reduced by truncating the first few most significant bits</w:t>
      </w:r>
      <w:r>
        <w:rPr>
          <w:rFonts w:hint="eastAsia" w:ascii="Times New Roman" w:hAnsi="Times New Roman" w:cs="Times New Roman"/>
          <w:sz w:val="20"/>
          <w:szCs w:val="20"/>
        </w:rPr>
        <w:t xml:space="preserve">. Furthermore, the </w:t>
      </w:r>
      <w:r>
        <w:rPr>
          <w:rFonts w:ascii="Times New Roman" w:hAnsi="Times New Roman" w:cs="Times New Roman"/>
          <w:sz w:val="20"/>
          <w:szCs w:val="20"/>
        </w:rPr>
        <w:t>removed/reserved fields can be repurposed for FDRA</w:t>
      </w:r>
      <w:r>
        <w:rPr>
          <w:rFonts w:hint="eastAsia" w:ascii="Times New Roman" w:hAnsi="Times New Roman" w:cs="Times New Roman"/>
          <w:sz w:val="20"/>
          <w:szCs w:val="20"/>
        </w:rPr>
        <w:t xml:space="preserve">. </w:t>
      </w:r>
    </w:p>
    <w:p>
      <w:pPr>
        <w:spacing w:after="180"/>
        <w:rPr>
          <w:rFonts w:ascii="Times New Roman" w:hAnsi="Times New Roman" w:cs="Times New Roman"/>
          <w:sz w:val="20"/>
          <w:szCs w:val="20"/>
        </w:rPr>
      </w:pPr>
      <w:r>
        <w:rPr>
          <w:rFonts w:hint="eastAsia" w:ascii="Times New Roman" w:hAnsi="Times New Roman" w:cs="Times New Roman"/>
          <w:sz w:val="20"/>
          <w:szCs w:val="20"/>
        </w:rPr>
        <w:t>According to the existing rules, the minimum size of FDRA field in DCI format 1_0 in CSS is 8 bits, corresponding to initial BWP of 24 PRBs. While for CFR, the largest bandwidth is 273 PRBs bas</w:t>
      </w:r>
      <w:r>
        <w:rPr>
          <w:rFonts w:ascii="Times New Roman" w:hAnsi="Times New Roman" w:cs="Times New Roman"/>
          <w:sz w:val="20"/>
          <w:szCs w:val="20"/>
        </w:rPr>
        <w:t>ed</w:t>
      </w:r>
      <w:r>
        <w:rPr>
          <w:rFonts w:hint="eastAsia" w:ascii="Times New Roman" w:hAnsi="Times New Roman" w:cs="Times New Roman"/>
          <w:sz w:val="20"/>
          <w:szCs w:val="20"/>
        </w:rPr>
        <w:t xml:space="preserve"> on transmission bandwidth configuration defined by RAN4. Then, 16 bits are required for FDRA field for the first DCI format for multicast under option 3. This is a large gap, i.e.,8 bits, which cannot be compensated by removed fields as discussed above. It means that most frequency resources in the CFR may not be allocated.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8</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 xml:space="preserve">Option 2 is supported for </w:t>
      </w:r>
      <w:r>
        <w:rPr>
          <w:rFonts w:ascii="Times New Roman" w:hAnsi="Times New Roman" w:eastAsia="Times New Roman" w:cs="Times New Roman"/>
          <w:i/>
          <w:sz w:val="20"/>
          <w:szCs w:val="20"/>
        </w:rPr>
        <w:t>FDRA</w:t>
      </w:r>
      <w:r>
        <w:rPr>
          <w:rFonts w:ascii="Times New Roman" w:hAnsi="Times New Roman" w:cs="Times New Roman"/>
          <w:i/>
          <w:sz w:val="20"/>
          <w:szCs w:val="20"/>
        </w:rPr>
        <w:t xml:space="preserve"> determination of the first DCI format</w:t>
      </w:r>
      <w:r>
        <w:rPr>
          <w:rFonts w:ascii="Times New Roman" w:hAnsi="Times New Roman" w:cs="Times New Roman"/>
          <w:bCs/>
          <w:i/>
          <w:sz w:val="20"/>
          <w:szCs w:val="20"/>
        </w:rPr>
        <w:t xml:space="preserve"> for GC-PDCCH,</w:t>
      </w:r>
      <w:r>
        <w:rPr>
          <w:rFonts w:hint="eastAsia" w:ascii="Times New Roman" w:hAnsi="Times New Roman" w:cs="Times New Roman"/>
          <w:bCs/>
          <w:i/>
          <w:sz w:val="20"/>
          <w:szCs w:val="20"/>
        </w:rPr>
        <w:t xml:space="preserve"> i.e., </w:t>
      </w:r>
    </w:p>
    <w:p>
      <w:pPr>
        <w:pStyle w:val="114"/>
        <w:widowControl/>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object>
          <v:shape id="_x0000_i1028" o:spt="75" type="#_x0000_t75" style="height:16.85pt;width:33.6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3">
            <o:LockedField>false</o:LockedField>
          </o:OLEObject>
        </w:object>
      </w:r>
      <w:r>
        <w:rPr>
          <w:rFonts w:ascii="Times New Roman" w:hAnsi="Times New Roman" w:cs="Times New Roman"/>
          <w:i/>
          <w:iCs/>
          <w:sz w:val="20"/>
          <w:szCs w:val="20"/>
          <w:lang w:val="en-US"/>
        </w:rPr>
        <w:t xml:space="preserve"> is given by</w:t>
      </w:r>
    </w:p>
    <w:p>
      <w:pPr>
        <w:pStyle w:val="114"/>
        <w:widowControl/>
        <w:numPr>
          <w:ilvl w:val="0"/>
          <w:numId w:val="20"/>
        </w:numPr>
        <w:tabs>
          <w:tab w:val="left" w:pos="600"/>
          <w:tab w:val="left" w:pos="1000"/>
          <w:tab w:val="clear" w:pos="84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the size of CORESET 0 if CORESET 0 is configured for the cell; and</w:t>
      </w:r>
    </w:p>
    <w:p>
      <w:pPr>
        <w:pStyle w:val="114"/>
        <w:widowControl/>
        <w:numPr>
          <w:ilvl w:val="0"/>
          <w:numId w:val="20"/>
        </w:numPr>
        <w:tabs>
          <w:tab w:val="left" w:pos="600"/>
          <w:tab w:val="left" w:pos="1000"/>
          <w:tab w:val="clear" w:pos="84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the size of initial DL bandwidth part if CORESET 0 is not configured for the cell.</w:t>
      </w:r>
    </w:p>
    <w:p>
      <w:pPr>
        <w:pStyle w:val="114"/>
        <w:widowControl/>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t>For resource indication value (RIV) of downlink resource allocation type 1, the similar scheme as for the case that the DCI size for DCI format 1_0 in USS is derived from the size of DCI format 1_0 in CSS but applied to an active BWP is used.</w:t>
      </w:r>
    </w:p>
    <w:p>
      <w:pPr>
        <w:pStyle w:val="114"/>
        <w:widowControl/>
        <w:numPr>
          <w:ilvl w:val="0"/>
          <w:numId w:val="20"/>
        </w:numPr>
        <w:tabs>
          <w:tab w:val="left" w:pos="600"/>
          <w:tab w:val="left" w:pos="1000"/>
          <w:tab w:val="clear" w:pos="84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rPr>
        <w:t xml:space="preserve">if the size of CFR (i.e.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CFR</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is larger than the size of CORESET0/initial DL bandwidth part, the </w:t>
      </w:r>
      <w:r>
        <w:rPr>
          <w:rFonts w:ascii="Times New Roman" w:hAnsi="Times New Roman" w:cs="Times New Roman"/>
          <w:i/>
          <w:iCs/>
          <w:color w:val="000000"/>
          <w:sz w:val="20"/>
          <w:szCs w:val="20"/>
        </w:rPr>
        <w:t xml:space="preserve">resource indication value (RIV) is defined as in section 5.1.2.2.2 in TS38.214, where </w:t>
      </w:r>
      <w:r>
        <w:rPr>
          <w:rFonts w:ascii="Times New Roman" w:hAnsi="Times New Roman" w:cs="Times New Roman"/>
          <w:i/>
          <w:iCs/>
          <w:sz w:val="20"/>
          <w:szCs w:val="20"/>
        </w:rPr>
        <w:t xml:space="preserve">K is the maximum value from set {1, 2, 4, 8} which satisfies </w:t>
      </w:r>
      <m:oMath>
        <m:r>
          <w:rPr>
            <w:rFonts w:ascii="Cambria Math" w:hAnsi="Cambria Math" w:cs="Times New Roman"/>
            <w:sz w:val="20"/>
            <w:szCs w:val="20"/>
          </w:rPr>
          <m:t>K≤</m:t>
        </m:r>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CFR</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BWP</m:t>
                </m:r>
                <m:ctrlPr>
                  <w:rPr>
                    <w:rFonts w:ascii="Cambria Math" w:hAnsi="Cambria Math" w:cs="Times New Roman"/>
                    <w:i/>
                    <w:iCs/>
                    <w:sz w:val="20"/>
                    <w:szCs w:val="20"/>
                  </w:rPr>
                </m:ctrlPr>
              </m:sub>
              <m:sup>
                <m:r>
                  <w:rPr>
                    <w:rFonts w:ascii="Cambria Math" w:hAnsi="Cambria Math" w:cs="Times New Roman"/>
                    <w:sz w:val="20"/>
                    <w:szCs w:val="20"/>
                  </w:rPr>
                  <m:t>initial</m:t>
                </m:r>
                <m:ctrlPr>
                  <w:rPr>
                    <w:rFonts w:ascii="Cambria Math" w:hAnsi="Cambria Math" w:cs="Times New Roman"/>
                    <w:i/>
                    <w:iCs/>
                    <w:sz w:val="20"/>
                    <w:szCs w:val="20"/>
                  </w:rPr>
                </m:ctrlPr>
              </m:sup>
            </m:sSubSup>
            <m:ctrlPr>
              <w:rPr>
                <w:rFonts w:ascii="Cambria Math" w:hAnsi="Cambria Math" w:cs="Times New Roman"/>
                <w:i/>
                <w:iCs/>
                <w:sz w:val="20"/>
                <w:szCs w:val="20"/>
              </w:rPr>
            </m:ctrlPr>
          </m:e>
        </m:d>
      </m:oMath>
      <w:r>
        <w:rPr>
          <w:rFonts w:ascii="Times New Roman" w:hAnsi="Times New Roman" w:cs="Times New Roman"/>
          <w:i/>
          <w:iCs/>
          <w:sz w:val="20"/>
          <w:szCs w:val="20"/>
        </w:rPr>
        <w:t xml:space="preserve">;otherwise, </w:t>
      </w:r>
      <m:oMath>
        <m:r>
          <w:rPr>
            <w:rFonts w:ascii="Cambria Math" w:hAnsi="Cambria Math" w:cs="Times New Roman"/>
            <w:sz w:val="20"/>
            <w:szCs w:val="20"/>
          </w:rPr>
          <m:t>K=1.</m:t>
        </m:r>
      </m:oMath>
    </w:p>
    <w:bookmarkEnd w:id="9"/>
    <w:p>
      <w:pPr>
        <w:spacing w:after="180"/>
        <w:rPr>
          <w:rFonts w:ascii="Times New Roman" w:hAnsi="Times New Roman" w:cs="Times New Roman"/>
          <w:sz w:val="20"/>
          <w:szCs w:val="20"/>
        </w:rPr>
      </w:pPr>
    </w:p>
    <w:p>
      <w:pPr>
        <w:spacing w:after="180"/>
        <w:rPr>
          <w:rFonts w:ascii="Times New Roman" w:hAnsi="Times New Roman" w:cs="Times New Roman"/>
          <w:b/>
          <w:bCs/>
          <w:sz w:val="20"/>
          <w:szCs w:val="20"/>
          <w:u w:val="single"/>
        </w:rPr>
      </w:pPr>
      <w:r>
        <w:rPr>
          <w:rFonts w:hint="eastAsia" w:ascii="Times New Roman" w:hAnsi="Times New Roman" w:cs="Times New Roman"/>
          <w:b/>
          <w:bCs/>
          <w:sz w:val="20"/>
          <w:szCs w:val="20"/>
          <w:u w:val="single"/>
        </w:rPr>
        <w:t>Fields in the second DCI format</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For the second DCI format for GC-PDCCH, the following fields in DCI format 1_1 should be reused. </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Carrier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Bandwidth part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Frequency domain resource assignment</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Time domain resource assignment</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VRB-to-PRB mapping</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PRB bundling size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Rate matching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Modulation and coding scheme</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New data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Redundancy version</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HARQ process number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Downlink assignment index</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PUCCH resource indicator</w:t>
      </w:r>
    </w:p>
    <w:p>
      <w:pPr>
        <w:pStyle w:val="87"/>
        <w:spacing w:before="60" w:after="60"/>
        <w:ind w:left="283"/>
        <w:rPr>
          <w:rFonts w:ascii="Times New Roman" w:hAnsi="Times New Roman" w:cs="Times New Roman"/>
          <w:i/>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PDSCH-to-HARQ_feedback timing indicator</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Antenna port(s)</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Transmission configuration indication</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DMRS sequence initialization</w:t>
      </w:r>
    </w:p>
    <w:p>
      <w:pPr>
        <w:pStyle w:val="87"/>
        <w:spacing w:before="60" w:after="60"/>
        <w:ind w:left="283"/>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Priority indicator</w:t>
      </w:r>
    </w:p>
    <w:p>
      <w:pPr>
        <w:spacing w:before="120" w:beforeLines="50" w:after="180"/>
        <w:rPr>
          <w:rFonts w:ascii="Times New Roman" w:hAnsi="Times New Roman" w:cs="Times New Roman"/>
          <w:sz w:val="20"/>
          <w:szCs w:val="20"/>
        </w:rPr>
      </w:pPr>
      <w:r>
        <w:rPr>
          <w:rFonts w:ascii="Times New Roman" w:hAnsi="Times New Roman" w:cs="Times New Roman"/>
          <w:sz w:val="20"/>
          <w:szCs w:val="20"/>
        </w:rPr>
        <w:t xml:space="preserve">Regarding ‘Carrier indicator’ in DCI format 1_1, it is beneficial for improving the capacity by supporting multicast transmission on the Scell. And cross-carrier scheduling can also be considered as one way of multicast transmission in Scell. So ‘carrier indicator’ field in DCI format 1_1 can be reused in the second DCI format with CRC scrambled with G-RNTI. </w:t>
      </w:r>
    </w:p>
    <w:p>
      <w:pPr>
        <w:spacing w:before="120" w:beforeLines="50" w:after="180"/>
        <w:rPr>
          <w:rFonts w:ascii="Times New Roman" w:hAnsi="Times New Roman" w:cs="Times New Roman"/>
          <w:sz w:val="20"/>
          <w:szCs w:val="20"/>
        </w:rPr>
      </w:pPr>
      <w:r>
        <w:rPr>
          <w:rFonts w:ascii="Times New Roman" w:hAnsi="Times New Roman" w:cs="Times New Roman"/>
          <w:sz w:val="20"/>
          <w:szCs w:val="20"/>
        </w:rPr>
        <w:t>About ‘Bandwidth part indicator’ in DCI f</w:t>
      </w:r>
      <w:r>
        <w:rPr>
          <w:rFonts w:hint="eastAsia" w:ascii="Times New Roman" w:hAnsi="Times New Roman" w:cs="Times New Roman"/>
          <w:sz w:val="20"/>
          <w:szCs w:val="20"/>
        </w:rPr>
        <w:t>or</w:t>
      </w:r>
      <w:r>
        <w:rPr>
          <w:rFonts w:ascii="Times New Roman" w:hAnsi="Times New Roman" w:cs="Times New Roman"/>
          <w:sz w:val="20"/>
          <w:szCs w:val="20"/>
        </w:rPr>
        <w:t>mat 1_1, it is also meaningful to switch the active BWP of a group of UEs and transmit the MBS service within the CFR associated with the new active BWP. For example, switch the active BWP of a group of UEs back to the initial BWP and receive the MBS service wit</w:t>
      </w:r>
      <w:r>
        <w:rPr>
          <w:rFonts w:hint="eastAsia" w:ascii="Times New Roman" w:hAnsi="Times New Roman" w:cs="Times New Roman"/>
          <w:sz w:val="20"/>
          <w:szCs w:val="20"/>
        </w:rPr>
        <w:t xml:space="preserve">hin the CFR associated with the initial BWP. </w:t>
      </w:r>
    </w:p>
    <w:p>
      <w:pPr>
        <w:spacing w:before="120" w:beforeLines="50" w:after="180"/>
        <w:rPr>
          <w:rFonts w:ascii="Times New Roman" w:hAnsi="Times New Roman" w:cs="Times New Roman"/>
          <w:sz w:val="20"/>
          <w:szCs w:val="20"/>
        </w:rPr>
      </w:pPr>
      <w:r>
        <w:rPr>
          <w:rFonts w:hint="eastAsia" w:ascii="Times New Roman" w:hAnsi="Times New Roman" w:cs="Times New Roman"/>
          <w:sz w:val="20"/>
          <w:szCs w:val="20"/>
        </w:rPr>
        <w:t>Some other fields, such as, Identifier for DCI formats</w:t>
      </w:r>
      <w:r>
        <w:rPr>
          <w:rFonts w:ascii="Times New Roman" w:hAnsi="Times New Roman" w:cs="Times New Roman"/>
          <w:sz w:val="20"/>
          <w:szCs w:val="20"/>
        </w:rPr>
        <w:t xml:space="preserve"> </w:t>
      </w:r>
      <w:r>
        <w:rPr>
          <w:rFonts w:hint="eastAsia" w:ascii="Times New Roman" w:hAnsi="Times New Roman" w:cs="Times New Roman"/>
          <w:sz w:val="20"/>
          <w:szCs w:val="20"/>
        </w:rPr>
        <w:t>(1 bit), scheduling information for the second transport block</w:t>
      </w:r>
      <w:r>
        <w:rPr>
          <w:rFonts w:ascii="Times New Roman" w:hAnsi="Times New Roman" w:cs="Times New Roman"/>
          <w:sz w:val="20"/>
          <w:szCs w:val="20"/>
        </w:rPr>
        <w:t xml:space="preserve"> </w:t>
      </w:r>
      <w:r>
        <w:rPr>
          <w:rFonts w:hint="eastAsia" w:ascii="Times New Roman" w:hAnsi="Times New Roman" w:cs="Times New Roman"/>
          <w:sz w:val="20"/>
          <w:szCs w:val="20"/>
        </w:rPr>
        <w:t>(8 bits), TPC command for scheduled PUCCH</w:t>
      </w:r>
      <w:r>
        <w:rPr>
          <w:rFonts w:ascii="Times New Roman" w:hAnsi="Times New Roman" w:cs="Times New Roman"/>
          <w:sz w:val="20"/>
          <w:szCs w:val="20"/>
        </w:rPr>
        <w:t xml:space="preserve"> </w:t>
      </w:r>
      <w:r>
        <w:rPr>
          <w:rFonts w:hint="eastAsia" w:ascii="Times New Roman" w:hAnsi="Times New Roman" w:cs="Times New Roman"/>
          <w:sz w:val="20"/>
          <w:szCs w:val="20"/>
        </w:rPr>
        <w:t>(2 bits), SRS request</w:t>
      </w:r>
      <w:r>
        <w:rPr>
          <w:rFonts w:ascii="Times New Roman" w:hAnsi="Times New Roman" w:cs="Times New Roman"/>
          <w:sz w:val="20"/>
          <w:szCs w:val="20"/>
        </w:rPr>
        <w:t xml:space="preserve"> </w:t>
      </w:r>
      <w:r>
        <w:rPr>
          <w:rFonts w:hint="eastAsia" w:ascii="Times New Roman" w:hAnsi="Times New Roman" w:cs="Times New Roman"/>
          <w:sz w:val="20"/>
          <w:szCs w:val="20"/>
        </w:rPr>
        <w:t>(2 bits), CBG transmission information (CBGTI)</w:t>
      </w:r>
      <w:r>
        <w:rPr>
          <w:rFonts w:ascii="Times New Roman" w:hAnsi="Times New Roman" w:cs="Times New Roman"/>
          <w:sz w:val="20"/>
          <w:szCs w:val="20"/>
        </w:rPr>
        <w:t xml:space="preserve"> </w:t>
      </w:r>
      <w:r>
        <w:rPr>
          <w:rFonts w:hint="eastAsia" w:ascii="Times New Roman" w:hAnsi="Times New Roman" w:cs="Times New Roman"/>
          <w:sz w:val="20"/>
          <w:szCs w:val="20"/>
        </w:rPr>
        <w:t>(0, 2, 4, 6 or 8 bits) and CBG flushing out information (CBGFI)</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(0 or 1 bit) are useless for multicast scheduling and can be removed.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9</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the second DCI format</w:t>
      </w:r>
      <w:r>
        <w:rPr>
          <w:rFonts w:ascii="Times New Roman" w:hAnsi="Times New Roman" w:cs="Times New Roman"/>
          <w:bCs/>
          <w:i/>
          <w:sz w:val="20"/>
          <w:szCs w:val="20"/>
        </w:rPr>
        <w:t xml:space="preserve"> for GC-PDCC</w:t>
      </w:r>
      <w:r>
        <w:rPr>
          <w:rFonts w:hint="eastAsia" w:ascii="Times New Roman" w:hAnsi="Times New Roman" w:cs="Times New Roman"/>
          <w:i/>
          <w:sz w:val="20"/>
          <w:szCs w:val="20"/>
        </w:rPr>
        <w:t>H, fields</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(such as, Identifier for DCI formats(1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pPr>
        <w:spacing w:after="180"/>
        <w:rPr>
          <w:rFonts w:ascii="Times New Roman" w:hAnsi="Times New Roman" w:cs="Times New Roman"/>
          <w:b/>
          <w:bCs/>
          <w:sz w:val="20"/>
          <w:szCs w:val="20"/>
          <w:u w:val="single"/>
        </w:rPr>
      </w:pPr>
      <w:r>
        <w:rPr>
          <w:rFonts w:hint="eastAsia" w:ascii="Times New Roman" w:hAnsi="Times New Roman" w:cs="Times New Roman"/>
          <w:b/>
          <w:bCs/>
          <w:sz w:val="20"/>
          <w:szCs w:val="20"/>
          <w:u w:val="single"/>
        </w:rPr>
        <w:t>New DCI fields for the first DCI format and the second DCI format 1_1</w:t>
      </w:r>
    </w:p>
    <w:p>
      <w:pPr>
        <w:spacing w:after="180"/>
        <w:rPr>
          <w:rFonts w:ascii="Times New Roman" w:hAnsi="Times New Roman" w:cs="Times New Roman"/>
          <w:sz w:val="20"/>
          <w:szCs w:val="20"/>
        </w:rPr>
      </w:pPr>
      <w:r>
        <w:rPr>
          <w:rFonts w:ascii="Times New Roman" w:hAnsi="Times New Roman" w:cs="Times New Roman"/>
          <w:sz w:val="20"/>
          <w:szCs w:val="20"/>
        </w:rPr>
        <w:t>Meanwhile, some additional information may need to be indicated in the DCI for MBS scheduling</w:t>
      </w:r>
      <w:r>
        <w:rPr>
          <w:rFonts w:hint="eastAsia" w:ascii="Times New Roman" w:hAnsi="Times New Roman" w:cs="Times New Roman"/>
          <w:sz w:val="20"/>
          <w:szCs w:val="20"/>
        </w:rPr>
        <w:t>,</w:t>
      </w:r>
      <w:r>
        <w:rPr>
          <w:rFonts w:ascii="Times New Roman" w:hAnsi="Times New Roman" w:cs="Times New Roman"/>
          <w:sz w:val="20"/>
          <w:szCs w:val="20"/>
        </w:rPr>
        <w:t xml:space="preserve"> </w:t>
      </w:r>
      <w:r>
        <w:rPr>
          <w:rFonts w:hint="eastAsia" w:ascii="Times New Roman" w:hAnsi="Times New Roman" w:cs="Times New Roman"/>
          <w:sz w:val="20"/>
          <w:szCs w:val="20"/>
        </w:rPr>
        <w:t>e.g.,</w:t>
      </w:r>
      <w:r>
        <w:rPr>
          <w:rFonts w:ascii="Times New Roman" w:hAnsi="Times New Roman" w:cs="Times New Roman"/>
          <w:sz w:val="20"/>
          <w:szCs w:val="20"/>
        </w:rPr>
        <w:t xml:space="preserve"> </w:t>
      </w:r>
      <w:r>
        <w:rPr>
          <w:rFonts w:hint="eastAsia" w:ascii="Times New Roman" w:hAnsi="Times New Roman" w:cs="Times New Roman"/>
          <w:sz w:val="20"/>
          <w:szCs w:val="20"/>
        </w:rPr>
        <w:t>in</w:t>
      </w:r>
      <w:r>
        <w:rPr>
          <w:rFonts w:ascii="Times New Roman" w:hAnsi="Times New Roman" w:cs="Times New Roman"/>
          <w:sz w:val="20"/>
          <w:szCs w:val="20"/>
        </w:rPr>
        <w:t>dication of enable/disable HARQ-ACK feedback</w:t>
      </w:r>
      <w:r>
        <w:rPr>
          <w:rFonts w:hint="eastAsia" w:ascii="Times New Roman" w:hAnsi="Times New Roman" w:cs="Times New Roman"/>
          <w:sz w:val="20"/>
          <w:szCs w:val="20"/>
        </w:rPr>
        <w:t>, etc</w:t>
      </w:r>
      <w:r>
        <w:rPr>
          <w:rFonts w:ascii="Times New Roman" w:hAnsi="Times New Roman" w:cs="Times New Roman"/>
          <w:sz w:val="20"/>
          <w:szCs w:val="20"/>
        </w:rPr>
        <w:t xml:space="preserve">. Therefore, the saved bits </w:t>
      </w:r>
      <w:r>
        <w:rPr>
          <w:rFonts w:hint="eastAsia" w:ascii="Times New Roman" w:hAnsi="Times New Roman" w:cs="Times New Roman"/>
          <w:sz w:val="20"/>
          <w:szCs w:val="20"/>
        </w:rPr>
        <w:t xml:space="preserve">by removing part of existing fields </w:t>
      </w:r>
      <w:r>
        <w:rPr>
          <w:rFonts w:ascii="Times New Roman" w:hAnsi="Times New Roman" w:cs="Times New Roman"/>
          <w:sz w:val="20"/>
          <w:szCs w:val="20"/>
        </w:rPr>
        <w:t xml:space="preserve">can be </w:t>
      </w:r>
      <w:r>
        <w:rPr>
          <w:rFonts w:hint="eastAsia" w:ascii="Times New Roman" w:hAnsi="Times New Roman" w:cs="Times New Roman"/>
          <w:sz w:val="20"/>
          <w:szCs w:val="20"/>
        </w:rPr>
        <w:t>used</w:t>
      </w:r>
      <w:r>
        <w:rPr>
          <w:rFonts w:ascii="Times New Roman" w:hAnsi="Times New Roman" w:cs="Times New Roman"/>
          <w:sz w:val="20"/>
          <w:szCs w:val="20"/>
        </w:rPr>
        <w:t xml:space="preserve"> to indicate the possible information above. The details can be further studied based on the progress of related topics, e.g., HARQ-ACK feedback, etc.</w:t>
      </w:r>
    </w:p>
    <w:p>
      <w:pPr>
        <w:spacing w:after="180"/>
        <w:rPr>
          <w:rFonts w:ascii="Times New Roman" w:hAnsi="Times New Roman" w:cs="Times New Roman"/>
          <w:sz w:val="20"/>
          <w:szCs w:val="20"/>
        </w:rPr>
      </w:pPr>
    </w:p>
    <w:p>
      <w:pPr>
        <w:pStyle w:val="3"/>
        <w:rPr>
          <w:lang w:eastAsia="zh-CN"/>
        </w:rPr>
      </w:pPr>
      <w:r>
        <w:rPr>
          <w:rFonts w:hint="eastAsia"/>
          <w:lang w:val="en-US" w:eastAsia="zh-CN"/>
        </w:rPr>
        <w:t>3.4</w:t>
      </w:r>
      <w:r>
        <w:rPr>
          <w:rFonts w:hint="eastAsia"/>
          <w:lang w:val="en-US" w:eastAsia="zh-CN"/>
        </w:rPr>
        <w:tab/>
      </w:r>
      <w:r>
        <w:rPr>
          <w:rFonts w:hint="eastAsia"/>
          <w:lang w:eastAsia="zh-CN"/>
        </w:rPr>
        <w:t>DCI size alignment</w:t>
      </w:r>
    </w:p>
    <w:p>
      <w:pPr>
        <w:spacing w:after="180"/>
        <w:rPr>
          <w:rFonts w:ascii="Times New Roman" w:hAnsi="Times New Roman" w:cs="Times New Roman"/>
          <w:sz w:val="20"/>
          <w:szCs w:val="20"/>
        </w:rPr>
      </w:pPr>
      <w:r>
        <w:rPr>
          <w:rFonts w:ascii="Times New Roman" w:hAnsi="Times New Roman" w:cs="Times New Roman"/>
          <w:sz w:val="20"/>
          <w:szCs w:val="20"/>
        </w:rPr>
        <w:t xml:space="preserve">As confirmed in RAN1#105-e meeting, at least two DCI formats will be defined for GC-PDCCH, and the “3+1” DCI size budget defined in Rel-15 will be maintained for Rel-17 MBS. </w:t>
      </w:r>
      <w:r>
        <w:rPr>
          <w:rFonts w:hint="eastAsia" w:ascii="Times New Roman" w:hAnsi="Times New Roman" w:cs="Times New Roman"/>
          <w:sz w:val="20"/>
          <w:szCs w:val="20"/>
        </w:rPr>
        <w:t xml:space="preserve">During RAN1#106-e, potential DCI size alignment mechanisms were discussed for both of the first DCI format and the second DCI format. For the first DCI format, it is agreed to align the size with DCI format 1_0 with CRC scrambled by C-RNTI monitored in CSS. However, no conclusion has been reached about the second DCI format. </w:t>
      </w:r>
    </w:p>
    <w:tbl>
      <w:tblPr>
        <w:tblStyle w:val="5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pStyle w:val="114"/>
              <w:numPr>
                <w:ilvl w:val="255"/>
                <w:numId w:val="0"/>
              </w:numPr>
              <w:spacing w:before="0" w:after="0" w:line="240" w:lineRule="auto"/>
              <w:rPr>
                <w:rFonts w:ascii="Times New Roman" w:hAnsi="Times New Roman" w:cs="Times New Roman" w:eastAsiaTheme="minorEastAsia"/>
                <w:sz w:val="18"/>
                <w:szCs w:val="20"/>
                <w:lang w:val="en-US"/>
              </w:rPr>
            </w:pPr>
            <w:r>
              <w:rPr>
                <w:rFonts w:ascii="Times New Roman" w:hAnsi="Times New Roman" w:cs="Times New Roman"/>
                <w:sz w:val="18"/>
                <w:szCs w:val="20"/>
                <w:highlight w:val="green"/>
              </w:rPr>
              <w:t>Agreement:</w:t>
            </w:r>
            <w:r>
              <w:rPr>
                <w:rFonts w:hint="eastAsia" w:ascii="Times New Roman" w:hAnsi="Times New Roman" w:cs="Times New Roman"/>
                <w:sz w:val="18"/>
                <w:szCs w:val="20"/>
                <w:lang w:val="en-US"/>
              </w:rPr>
              <w:t xml:space="preserve"> in RAN1#105-e</w:t>
            </w:r>
          </w:p>
          <w:p>
            <w:pPr>
              <w:pStyle w:val="114"/>
              <w:numPr>
                <w:ilvl w:val="255"/>
                <w:numId w:val="0"/>
              </w:numPr>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Confirm the working assumption: </w:t>
            </w:r>
          </w:p>
          <w:p>
            <w:pPr>
              <w:pStyle w:val="114"/>
              <w:numPr>
                <w:ilvl w:val="255"/>
                <w:numId w:val="0"/>
              </w:numPr>
              <w:spacing w:before="0" w:after="0" w:line="240" w:lineRule="auto"/>
              <w:rPr>
                <w:rFonts w:ascii="Times New Roman" w:hAnsi="Times New Roman" w:cs="Times New Roman"/>
                <w:sz w:val="18"/>
                <w:szCs w:val="20"/>
              </w:rPr>
            </w:pPr>
            <w:bookmarkStart w:id="10" w:name="OLE_LINK25"/>
            <w:r>
              <w:rPr>
                <w:rFonts w:ascii="Times New Roman" w:hAnsi="Times New Roman" w:cs="Times New Roman"/>
                <w:sz w:val="18"/>
                <w:szCs w:val="20"/>
              </w:rPr>
              <w:t>Keep the “3+1” DCI size budget defined in Rel-15 for Rel-17 MBS</w:t>
            </w:r>
            <w:bookmarkEnd w:id="10"/>
            <w:r>
              <w:rPr>
                <w:rFonts w:ascii="Times New Roman" w:hAnsi="Times New Roman" w:cs="Times New Roman"/>
                <w:sz w:val="18"/>
                <w:szCs w:val="20"/>
              </w:rPr>
              <w:t>.</w:t>
            </w:r>
          </w:p>
          <w:p>
            <w:pPr>
              <w:pStyle w:val="114"/>
              <w:numPr>
                <w:ilvl w:val="0"/>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FFS: Whether the </w:t>
            </w:r>
            <w:bookmarkStart w:id="11" w:name="OLE_LINK26"/>
            <w:r>
              <w:rPr>
                <w:rFonts w:ascii="Times New Roman" w:hAnsi="Times New Roman" w:cs="Times New Roman"/>
                <w:sz w:val="18"/>
                <w:szCs w:val="20"/>
              </w:rPr>
              <w:t>G-RNTI is counted as “C-RNTI” or as “other RNTI”</w:t>
            </w:r>
            <w:bookmarkEnd w:id="11"/>
            <w:r>
              <w:rPr>
                <w:rFonts w:ascii="Times New Roman" w:hAnsi="Times New Roman" w:cs="Times New Roman"/>
                <w:sz w:val="18"/>
                <w:szCs w:val="20"/>
              </w:rPr>
              <w:t xml:space="preserve"> when considering the “3+1” DCI size budget rule for group-common PDCCH.</w:t>
            </w:r>
          </w:p>
          <w:p>
            <w:pPr>
              <w:pStyle w:val="114"/>
              <w:numPr>
                <w:ilvl w:val="255"/>
                <w:numId w:val="0"/>
              </w:numPr>
              <w:spacing w:before="0" w:after="0" w:line="240" w:lineRule="auto"/>
              <w:jc w:val="left"/>
              <w:rPr>
                <w:rFonts w:ascii="Times New Roman" w:hAnsi="Times New Roman" w:cs="Times New Roman"/>
                <w:sz w:val="18"/>
                <w:szCs w:val="20"/>
              </w:rPr>
            </w:pPr>
            <w:r>
              <w:rPr>
                <w:rFonts w:ascii="Times New Roman" w:hAnsi="Times New Roman" w:cs="Times New Roman"/>
                <w:sz w:val="18"/>
                <w:szCs w:val="20"/>
                <w:highlight w:val="green"/>
              </w:rPr>
              <w:t>Agreement:</w:t>
            </w:r>
            <w:r>
              <w:rPr>
                <w:rFonts w:ascii="Times New Roman" w:hAnsi="Times New Roman" w:cs="Times New Roman"/>
                <w:sz w:val="18"/>
                <w:szCs w:val="20"/>
                <w:lang w:val="en-US"/>
              </w:rPr>
              <w:t xml:space="preserve"> in RAN1#106-e</w:t>
            </w:r>
          </w:p>
          <w:p>
            <w:pPr>
              <w:pStyle w:val="114"/>
              <w:numPr>
                <w:ilvl w:val="255"/>
                <w:numId w:val="0"/>
              </w:numPr>
              <w:spacing w:before="0" w:after="0" w:line="240" w:lineRule="auto"/>
              <w:jc w:val="left"/>
              <w:rPr>
                <w:rFonts w:ascii="Times New Roman" w:hAnsi="Times New Roman" w:cs="Times New Roman"/>
                <w:sz w:val="18"/>
                <w:szCs w:val="20"/>
              </w:rPr>
            </w:pPr>
            <w:r>
              <w:rPr>
                <w:rFonts w:ascii="Times New Roman" w:hAnsi="Times New Roman" w:cs="Times New Roman"/>
                <w:sz w:val="18"/>
                <w:szCs w:val="20"/>
              </w:rPr>
              <w:t>For multicast of RRC-CONNECTED UEs, align the size of the first DCI format</w:t>
            </w:r>
            <w:r>
              <w:rPr>
                <w:rFonts w:ascii="Times New Roman" w:hAnsi="Times New Roman" w:cs="Times New Roman"/>
                <w:bCs/>
                <w:sz w:val="18"/>
                <w:szCs w:val="20"/>
              </w:rPr>
              <w:t xml:space="preserve"> for GC-PDCCH</w:t>
            </w:r>
            <w:r>
              <w:rPr>
                <w:rFonts w:ascii="Times New Roman" w:hAnsi="Times New Roman" w:cs="Times New Roman"/>
                <w:sz w:val="18"/>
                <w:szCs w:val="20"/>
              </w:rPr>
              <w:t xml:space="preserve"> with DCI format 1_0 with CRC scrambled by C-RNTI monitored in CSS.</w:t>
            </w:r>
          </w:p>
          <w:p>
            <w:pPr>
              <w:pStyle w:val="114"/>
              <w:numPr>
                <w:ilvl w:val="255"/>
                <w:numId w:val="0"/>
              </w:numPr>
              <w:spacing w:before="0" w:after="0" w:line="240" w:lineRule="auto"/>
              <w:jc w:val="left"/>
              <w:rPr>
                <w:rFonts w:ascii="Times New Roman" w:hAnsi="Times New Roman" w:cs="Times New Roman"/>
                <w:sz w:val="18"/>
                <w:szCs w:val="20"/>
              </w:rPr>
            </w:pPr>
            <w:r>
              <w:rPr>
                <w:rFonts w:ascii="Times New Roman" w:hAnsi="Times New Roman" w:cs="Times New Roman"/>
                <w:b/>
                <w:sz w:val="18"/>
                <w:szCs w:val="20"/>
                <w:highlight w:val="yellow"/>
              </w:rPr>
              <w:t>[High] Updated Proposal 2-8</w:t>
            </w:r>
            <w:r>
              <w:rPr>
                <w:rFonts w:ascii="Times New Roman" w:hAnsi="Times New Roman" w:cs="Times New Roman"/>
                <w:sz w:val="18"/>
                <w:szCs w:val="20"/>
              </w:rPr>
              <w:t>: The size of the second DCI format for multicast can be configured by RRC signalling for RRC_CONNECTED UEs (similar as the configuration for the size alignment among DCI format 2_0/2_1/2_4/2_5/2_6).</w:t>
            </w:r>
          </w:p>
          <w:p>
            <w:pPr>
              <w:pStyle w:val="114"/>
              <w:numPr>
                <w:ilvl w:val="0"/>
                <w:numId w:val="19"/>
              </w:numPr>
              <w:spacing w:before="0" w:after="0" w:line="240" w:lineRule="auto"/>
              <w:rPr>
                <w:rFonts w:ascii="Times New Roman" w:hAnsi="Times New Roman" w:cs="Times New Roman"/>
                <w:sz w:val="18"/>
                <w:szCs w:val="20"/>
              </w:rPr>
            </w:pPr>
            <w:r>
              <w:rPr>
                <w:rFonts w:ascii="Times New Roman" w:hAnsi="Times New Roman" w:cs="Times New Roman" w:eastAsiaTheme="minorEastAsia"/>
                <w:sz w:val="18"/>
                <w:szCs w:val="20"/>
              </w:rPr>
              <w:t xml:space="preserve">It is up to </w:t>
            </w:r>
            <w:bookmarkStart w:id="12" w:name="OLE_LINK13"/>
            <w:r>
              <w:rPr>
                <w:rFonts w:ascii="Times New Roman" w:hAnsi="Times New Roman" w:cs="Times New Roman" w:eastAsiaTheme="minorEastAsia"/>
                <w:sz w:val="18"/>
                <w:szCs w:val="20"/>
              </w:rPr>
              <w:t>network implementation to ensure different UEs in the same MBS group have the same understanding on the configurable DCI fields of the second DCI format for multicast</w:t>
            </w:r>
            <w:bookmarkEnd w:id="12"/>
            <w:r>
              <w:rPr>
                <w:rFonts w:ascii="Times New Roman" w:hAnsi="Times New Roman" w:cs="Times New Roman" w:eastAsiaTheme="minorEastAsia"/>
                <w:sz w:val="18"/>
                <w:szCs w:val="20"/>
              </w:rPr>
              <w:t>.</w:t>
            </w: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For the second DCI format</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for </w:t>
      </w:r>
      <w:r>
        <w:rPr>
          <w:rFonts w:ascii="Times New Roman" w:hAnsi="Times New Roman" w:cs="Times New Roman"/>
          <w:sz w:val="20"/>
          <w:szCs w:val="20"/>
        </w:rPr>
        <w:t>multicast</w:t>
      </w:r>
      <w:r>
        <w:rPr>
          <w:rFonts w:hint="eastAsia" w:ascii="Times New Roman" w:hAnsi="Times New Roman" w:cs="Times New Roman"/>
          <w:sz w:val="20"/>
          <w:szCs w:val="20"/>
        </w:rPr>
        <w:t>, a</w:t>
      </w:r>
      <w:r>
        <w:rPr>
          <w:rFonts w:ascii="Times New Roman" w:hAnsi="Times New Roman" w:cs="Times New Roman"/>
          <w:sz w:val="20"/>
          <w:szCs w:val="20"/>
        </w:rPr>
        <w:t xml:space="preserve">s </w:t>
      </w:r>
      <w:r>
        <w:rPr>
          <w:rFonts w:hint="eastAsia" w:ascii="Times New Roman" w:hAnsi="Times New Roman" w:cs="Times New Roman"/>
          <w:sz w:val="20"/>
          <w:szCs w:val="20"/>
        </w:rPr>
        <w:t xml:space="preserve">proposed during RAN1#106-e, the size can </w:t>
      </w:r>
      <w:r>
        <w:rPr>
          <w:rFonts w:ascii="Times New Roman" w:hAnsi="Times New Roman" w:cs="Times New Roman"/>
          <w:sz w:val="20"/>
          <w:szCs w:val="20"/>
        </w:rPr>
        <w:t xml:space="preserve">be configured by RRC signalling for RRC_CONNECTED UEs. </w:t>
      </w:r>
      <w:r>
        <w:rPr>
          <w:rFonts w:hint="eastAsia" w:ascii="Times New Roman" w:hAnsi="Times New Roman" w:cs="Times New Roman"/>
          <w:sz w:val="20"/>
          <w:szCs w:val="20"/>
        </w:rPr>
        <w:t xml:space="preserve">And the </w:t>
      </w:r>
      <w:r>
        <w:rPr>
          <w:rFonts w:ascii="Times New Roman" w:hAnsi="Times New Roman" w:cs="Times New Roman"/>
          <w:sz w:val="20"/>
          <w:szCs w:val="20"/>
        </w:rPr>
        <w:t xml:space="preserve">network </w:t>
      </w:r>
      <w:r>
        <w:rPr>
          <w:rFonts w:hint="eastAsia" w:ascii="Times New Roman" w:hAnsi="Times New Roman" w:cs="Times New Roman"/>
          <w:sz w:val="20"/>
          <w:szCs w:val="20"/>
        </w:rPr>
        <w:t>can</w:t>
      </w:r>
      <w:r>
        <w:rPr>
          <w:rFonts w:ascii="Times New Roman" w:hAnsi="Times New Roman" w:cs="Times New Roman"/>
          <w:sz w:val="20"/>
          <w:szCs w:val="20"/>
        </w:rPr>
        <w:t xml:space="preserve"> ensure different UEs in the same MBS group have the same understanding on the configurable DCI fields of the second DCI format for multicast</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Furthermore, it should be further studied for the rule of DCI size alignment when the size budget is exceeded. </w:t>
      </w:r>
    </w:p>
    <w:p>
      <w:pPr>
        <w:spacing w:after="180"/>
        <w:rPr>
          <w:rFonts w:ascii="Times New Roman" w:hAnsi="Times New Roman" w:cs="Times New Roman"/>
          <w:iCs/>
          <w:sz w:val="20"/>
          <w:szCs w:val="20"/>
        </w:rPr>
      </w:pPr>
      <w:r>
        <w:rPr>
          <w:rFonts w:hint="eastAsia" w:ascii="Times New Roman" w:hAnsi="Times New Roman" w:cs="Times New Roman"/>
          <w:iCs/>
          <w:sz w:val="20"/>
          <w:szCs w:val="20"/>
        </w:rPr>
        <w:t xml:space="preserve">If the size of the DCI format 1_1 for unicast </w:t>
      </w:r>
      <w:r>
        <w:rPr>
          <w:rFonts w:ascii="Times New Roman" w:hAnsi="Times New Roman" w:cs="Times New Roman"/>
          <w:iCs/>
          <w:sz w:val="20"/>
          <w:szCs w:val="20"/>
        </w:rPr>
        <w:t>has to</w:t>
      </w:r>
      <w:r>
        <w:rPr>
          <w:rFonts w:hint="eastAsia" w:ascii="Times New Roman" w:hAnsi="Times New Roman" w:cs="Times New Roman"/>
          <w:iCs/>
          <w:sz w:val="20"/>
          <w:szCs w:val="20"/>
        </w:rPr>
        <w:t xml:space="preserve"> be aligned with the second DCI format for multicast, the size of the second DCI format should be configured as a size greater than the size of DCI format 1_1 of any UE in the group. As discussed in section 3.3, several fields should be removed from DCI format 1_1 for unicast. There are above 20 bits gap between them. Then, the second DCI format should always be padded for the size alignment, which will greatly affect the detection performance of the second DCI format.</w:t>
      </w:r>
    </w:p>
    <w:p>
      <w:pPr>
        <w:spacing w:after="180"/>
        <w:rPr>
          <w:rFonts w:ascii="Times New Roman" w:hAnsi="Times New Roman" w:cs="Times New Roman"/>
          <w:sz w:val="20"/>
          <w:szCs w:val="20"/>
        </w:rPr>
      </w:pPr>
      <w:r>
        <w:rPr>
          <w:rFonts w:hint="eastAsia" w:ascii="Times New Roman" w:hAnsi="Times New Roman" w:cs="Times New Roman"/>
          <w:sz w:val="20"/>
          <w:szCs w:val="20"/>
        </w:rPr>
        <w:t>So</w:t>
      </w:r>
      <w:r>
        <w:rPr>
          <w:rFonts w:ascii="Times New Roman" w:hAnsi="Times New Roman" w:cs="Times New Roman"/>
          <w:sz w:val="20"/>
          <w:szCs w:val="20"/>
        </w:rPr>
        <w:t xml:space="preserve"> it</w:t>
      </w:r>
      <w:r>
        <w:rPr>
          <w:rFonts w:hint="eastAsia" w:ascii="Times New Roman" w:hAnsi="Times New Roman" w:cs="Times New Roman"/>
          <w:sz w:val="20"/>
          <w:szCs w:val="20"/>
        </w:rPr>
        <w:t xml:space="preserve"> is</w:t>
      </w:r>
      <w:r>
        <w:rPr>
          <w:rFonts w:ascii="Times New Roman" w:hAnsi="Times New Roman" w:cs="Times New Roman"/>
          <w:sz w:val="20"/>
          <w:szCs w:val="20"/>
        </w:rPr>
        <w:t xml:space="preserve"> better to be counted as “other RNTI”. Then, it is mainly an implementation issue of gNB for keeping number of different DCI sizes within the size budget. </w:t>
      </w:r>
      <w:r>
        <w:rPr>
          <w:rFonts w:hint="eastAsia" w:ascii="Times New Roman" w:hAnsi="Times New Roman" w:cs="Times New Roman"/>
          <w:sz w:val="20"/>
          <w:szCs w:val="20"/>
        </w:rPr>
        <w:t xml:space="preserve">Lower </w:t>
      </w:r>
      <w:r>
        <w:rPr>
          <w:rFonts w:ascii="Times New Roman" w:hAnsi="Times New Roman" w:cs="Times New Roman"/>
          <w:sz w:val="20"/>
          <w:szCs w:val="20"/>
        </w:rPr>
        <w:t xml:space="preserve">standardization </w:t>
      </w:r>
      <w:r>
        <w:rPr>
          <w:rFonts w:hint="eastAsia" w:ascii="Times New Roman" w:hAnsi="Times New Roman" w:cs="Times New Roman"/>
          <w:sz w:val="20"/>
          <w:szCs w:val="20"/>
        </w:rPr>
        <w:t xml:space="preserve">and performance </w:t>
      </w:r>
      <w:r>
        <w:rPr>
          <w:rFonts w:ascii="Times New Roman" w:hAnsi="Times New Roman" w:cs="Times New Roman"/>
          <w:sz w:val="20"/>
          <w:szCs w:val="20"/>
        </w:rPr>
        <w:t>impacts can be expected.</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10</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Regarding DCI size alignment for </w:t>
      </w:r>
      <w:r>
        <w:rPr>
          <w:rFonts w:hint="eastAsia" w:ascii="Times New Roman" w:hAnsi="Times New Roman" w:cs="Times New Roman"/>
          <w:i/>
          <w:sz w:val="20"/>
          <w:szCs w:val="20"/>
        </w:rPr>
        <w:t xml:space="preserve">the second DCI format of </w:t>
      </w:r>
      <w:r>
        <w:rPr>
          <w:rFonts w:ascii="Times New Roman" w:hAnsi="Times New Roman" w:cs="Times New Roman"/>
          <w:i/>
          <w:sz w:val="20"/>
          <w:szCs w:val="20"/>
        </w:rPr>
        <w:t xml:space="preserve">GC-PDCCH, </w:t>
      </w:r>
      <w:r>
        <w:rPr>
          <w:rFonts w:hint="eastAsia" w:ascii="Times New Roman" w:hAnsi="Times New Roman" w:cs="Times New Roman"/>
          <w:i/>
          <w:sz w:val="20"/>
          <w:szCs w:val="20"/>
        </w:rPr>
        <w:t xml:space="preserve">it is </w:t>
      </w:r>
      <w:r>
        <w:rPr>
          <w:rFonts w:ascii="Times New Roman" w:hAnsi="Times New Roman" w:cs="Times New Roman"/>
          <w:i/>
          <w:iCs/>
          <w:sz w:val="20"/>
          <w:szCs w:val="20"/>
        </w:rPr>
        <w:t>counted as “other RNTI”, and gNB will ensure that the number of DCI sizes does not exceed budget.</w:t>
      </w:r>
    </w:p>
    <w:p>
      <w:pPr>
        <w:pStyle w:val="3"/>
        <w:rPr>
          <w:lang w:eastAsia="zh-CN"/>
        </w:rPr>
      </w:pPr>
      <w:r>
        <w:rPr>
          <w:rFonts w:hint="eastAsia"/>
          <w:lang w:val="en-US" w:eastAsia="zh-CN"/>
        </w:rPr>
        <w:t>3.5</w:t>
      </w:r>
      <w:r>
        <w:rPr>
          <w:rFonts w:hint="eastAsia"/>
          <w:lang w:val="en-US" w:eastAsia="zh-CN"/>
        </w:rPr>
        <w:tab/>
      </w:r>
      <w:r>
        <w:rPr>
          <w:rFonts w:hint="eastAsia"/>
          <w:lang w:eastAsia="zh-CN"/>
        </w:rPr>
        <w:t>Search space</w:t>
      </w:r>
    </w:p>
    <w:p>
      <w:pPr>
        <w:spacing w:after="180"/>
        <w:rPr>
          <w:rFonts w:ascii="Times New Roman" w:hAnsi="Times New Roman" w:cs="Times New Roman"/>
          <w:sz w:val="20"/>
          <w:szCs w:val="20"/>
        </w:rPr>
      </w:pPr>
      <w:r>
        <w:rPr>
          <w:rFonts w:ascii="Times New Roman" w:hAnsi="Times New Roman" w:cs="Times New Roman"/>
          <w:sz w:val="20"/>
          <w:szCs w:val="20"/>
        </w:rPr>
        <w:t>During RAN1#105-e</w:t>
      </w:r>
      <w:r>
        <w:rPr>
          <w:rFonts w:hint="eastAsia" w:ascii="Times New Roman" w:hAnsi="Times New Roman" w:cs="Times New Roman"/>
          <w:sz w:val="20"/>
          <w:szCs w:val="20"/>
        </w:rPr>
        <w:t xml:space="preserve"> and RAN1#106-e</w:t>
      </w:r>
      <w:r>
        <w:rPr>
          <w:rFonts w:ascii="Times New Roman" w:hAnsi="Times New Roman" w:cs="Times New Roman"/>
          <w:sz w:val="20"/>
          <w:szCs w:val="20"/>
        </w:rPr>
        <w:t xml:space="preserve"> meeting</w:t>
      </w:r>
      <w:r>
        <w:rPr>
          <w:rFonts w:hint="eastAsia" w:ascii="Times New Roman" w:hAnsi="Times New Roman" w:cs="Times New Roman"/>
          <w:sz w:val="20"/>
          <w:szCs w:val="20"/>
        </w:rPr>
        <w:t>s</w:t>
      </w:r>
      <w:r>
        <w:rPr>
          <w:rFonts w:ascii="Times New Roman" w:hAnsi="Times New Roman" w:cs="Times New Roman"/>
          <w:sz w:val="20"/>
          <w:szCs w:val="20"/>
        </w:rPr>
        <w:t xml:space="preserve">, the following agreement </w:t>
      </w:r>
      <w:r>
        <w:rPr>
          <w:rFonts w:hint="eastAsia" w:ascii="Times New Roman" w:hAnsi="Times New Roman" w:cs="Times New Roman"/>
          <w:sz w:val="20"/>
          <w:szCs w:val="20"/>
        </w:rPr>
        <w:t xml:space="preserve">and conclusion </w:t>
      </w:r>
      <w:r>
        <w:rPr>
          <w:rFonts w:ascii="Times New Roman" w:hAnsi="Times New Roman" w:cs="Times New Roman"/>
          <w:sz w:val="20"/>
          <w:szCs w:val="20"/>
        </w:rPr>
        <w:t xml:space="preserve">on search space set type and monitoring priority for GC-PDCCH was achieved. </w:t>
      </w:r>
    </w:p>
    <w:tbl>
      <w:tblPr>
        <w:tblStyle w:val="5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3" w:type="dxa"/>
          </w:tcPr>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For CSS of group-common PDCCH of PTM scheme 1 for multicast in RRC_CONNECTED state, Alt 2 is supported:</w:t>
            </w:r>
          </w:p>
          <w:p>
            <w:pPr>
              <w:pStyle w:val="114"/>
              <w:numPr>
                <w:ilvl w:val="0"/>
                <w:numId w:val="19"/>
              </w:numPr>
              <w:spacing w:before="0" w:after="0" w:line="240" w:lineRule="auto"/>
              <w:ind w:left="360"/>
              <w:rPr>
                <w:rFonts w:ascii="Times New Roman" w:hAnsi="Times New Roman" w:cs="Times New Roman"/>
                <w:sz w:val="18"/>
                <w:szCs w:val="20"/>
              </w:rPr>
            </w:pPr>
            <w:r>
              <w:rPr>
                <w:rFonts w:ascii="Times New Roman" w:hAnsi="Times New Roman" w:eastAsia="Times New Roman" w:cs="Times New Roman"/>
                <w:sz w:val="18"/>
                <w:szCs w:val="20"/>
              </w:rPr>
              <w:t xml:space="preserve">Alt 2: support </w:t>
            </w:r>
            <w:r>
              <w:rPr>
                <w:rFonts w:ascii="Times New Roman" w:hAnsi="Times New Roman" w:cs="Times New Roman"/>
                <w:sz w:val="18"/>
                <w:szCs w:val="20"/>
              </w:rPr>
              <w:t>a Type-x CSS</w:t>
            </w:r>
          </w:p>
          <w:p>
            <w:pPr>
              <w:pStyle w:val="114"/>
              <w:numPr>
                <w:ilvl w:val="1"/>
                <w:numId w:val="19"/>
              </w:numPr>
              <w:spacing w:before="0" w:after="0" w:line="240" w:lineRule="auto"/>
              <w:ind w:left="1080"/>
              <w:rPr>
                <w:rFonts w:ascii="Times New Roman" w:hAnsi="Times New Roman" w:cs="Times New Roman"/>
                <w:sz w:val="18"/>
                <w:szCs w:val="20"/>
              </w:rPr>
            </w:pPr>
            <w:bookmarkStart w:id="13" w:name="OLE_LINK24"/>
            <w:r>
              <w:rPr>
                <w:rFonts w:ascii="Times New Roman" w:hAnsi="Times New Roman" w:cs="Times New Roman"/>
                <w:sz w:val="18"/>
                <w:szCs w:val="20"/>
              </w:rPr>
              <w:t>The monitoring priority of Type-x CSS is determined based on the search space set indexes of the Type-x CSS set and USS sets, regardless of which DCI format of group-common PDCCH is configured in the Type-x CSS.</w:t>
            </w:r>
          </w:p>
          <w:bookmarkEnd w:id="13"/>
          <w:p>
            <w:pPr>
              <w:pStyle w:val="114"/>
              <w:numPr>
                <w:ilvl w:val="0"/>
                <w:numId w:val="19"/>
              </w:numPr>
              <w:spacing w:before="0" w:after="0" w:line="240" w:lineRule="auto"/>
              <w:ind w:left="360"/>
              <w:rPr>
                <w:rFonts w:ascii="Times New Roman" w:hAnsi="Times New Roman" w:cs="Times New Roman"/>
                <w:sz w:val="18"/>
                <w:szCs w:val="20"/>
              </w:rPr>
            </w:pPr>
            <w:r>
              <w:rPr>
                <w:rFonts w:ascii="Times New Roman" w:hAnsi="Times New Roman" w:cs="Times New Roman"/>
                <w:sz w:val="18"/>
                <w:szCs w:val="20"/>
              </w:rPr>
              <w:t>FFS: Whether the Type-x CSS is a Type-3 CSS</w:t>
            </w:r>
          </w:p>
          <w:p>
            <w:pPr>
              <w:spacing w:before="0" w:line="240" w:lineRule="auto"/>
              <w:rPr>
                <w:rFonts w:ascii="Times New Roman" w:hAnsi="Times New Roman" w:cs="Times New Roman"/>
                <w:sz w:val="18"/>
                <w:szCs w:val="20"/>
                <w:u w:val="single"/>
              </w:rPr>
            </w:pPr>
            <w:r>
              <w:rPr>
                <w:rFonts w:ascii="Times New Roman" w:hAnsi="Times New Roman" w:cs="Times New Roman"/>
                <w:sz w:val="18"/>
                <w:szCs w:val="20"/>
                <w:u w:val="single"/>
              </w:rPr>
              <w:t>Conclusion:</w:t>
            </w:r>
          </w:p>
          <w:p>
            <w:pPr>
              <w:spacing w:before="0" w:line="240" w:lineRule="auto"/>
              <w:rPr>
                <w:rFonts w:hint="eastAsia" w:ascii="Times New Roman" w:hAnsi="Times New Roman" w:cs="Times New Roman"/>
                <w:sz w:val="18"/>
                <w:szCs w:val="20"/>
              </w:rPr>
            </w:pPr>
            <w:r>
              <w:rPr>
                <w:rFonts w:ascii="Times New Roman" w:hAnsi="Times New Roman" w:cs="Times New Roman"/>
                <w:sz w:val="18"/>
                <w:szCs w:val="20"/>
              </w:rPr>
              <w:t>The specification impact of having a new Type-x CSS for GC-PDCCH in RRC_CONNECTED state can be studied and discussed further.</w:t>
            </w: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ascii="Times New Roman" w:hAnsi="Times New Roman" w:cs="Times New Roman"/>
          <w:sz w:val="20"/>
          <w:szCs w:val="20"/>
        </w:rPr>
        <w:t xml:space="preserve">If the type-x CSS is defined as a type-3 CSS, some confusions may be caused by different monitoring priority rules of type-x CSS and current type-3 CSS. More specifically, when type3-CSS further serves as multicast scheduling search space, a same search space of type3-CSS can be configured for DCI format 1_0 with CRC scrambled by C-RNTI and </w:t>
      </w:r>
      <w:r>
        <w:rPr>
          <w:rFonts w:hint="eastAsia" w:ascii="Times New Roman" w:hAnsi="Times New Roman" w:cs="Times New Roman"/>
          <w:sz w:val="20"/>
          <w:szCs w:val="20"/>
        </w:rPr>
        <w:t xml:space="preserve">the first DCI format with CRC scrambled by </w:t>
      </w:r>
      <w:r>
        <w:rPr>
          <w:rFonts w:ascii="Times New Roman" w:hAnsi="Times New Roman" w:cs="Times New Roman"/>
          <w:sz w:val="20"/>
          <w:szCs w:val="20"/>
        </w:rPr>
        <w:t xml:space="preserve">G-RNTI at the same time. For DCI format 1_0 with CRC scrambled by C-RNTI, it will always be monitored. While for </w:t>
      </w:r>
      <w:r>
        <w:rPr>
          <w:rFonts w:hint="eastAsia" w:ascii="Times New Roman" w:hAnsi="Times New Roman" w:cs="Times New Roman"/>
          <w:sz w:val="20"/>
          <w:szCs w:val="20"/>
        </w:rPr>
        <w:t xml:space="preserve">the first </w:t>
      </w:r>
      <w:r>
        <w:rPr>
          <w:rFonts w:ascii="Times New Roman" w:hAnsi="Times New Roman" w:cs="Times New Roman"/>
          <w:sz w:val="20"/>
          <w:szCs w:val="20"/>
        </w:rPr>
        <w:t xml:space="preserve">DCI format with CRC scrambled by G-RNTI, it may be dropped as its monitoring priority depends on the order of search space index comparing with other USSs. That is to say, for the same search space of type3-CSS, there are two dropping rules that are conflicting with each other, and this will complicate the monitoring behavior of the UE. </w:t>
      </w:r>
    </w:p>
    <w:p>
      <w:pPr>
        <w:spacing w:after="180"/>
        <w:rPr>
          <w:rFonts w:ascii="Times New Roman" w:hAnsi="Times New Roman" w:cs="Times New Roman"/>
          <w:sz w:val="20"/>
          <w:szCs w:val="20"/>
        </w:rPr>
      </w:pPr>
      <w:r>
        <w:rPr>
          <w:rFonts w:ascii="Times New Roman" w:hAnsi="Times New Roman" w:cs="Times New Roman"/>
          <w:sz w:val="20"/>
          <w:szCs w:val="20"/>
        </w:rPr>
        <w:t xml:space="preserve">Then, a possible UE behavior needs to be defined. For example, </w:t>
      </w:r>
      <w:bookmarkStart w:id="14" w:name="OLE_LINK21"/>
      <w:r>
        <w:rPr>
          <w:rFonts w:ascii="Times New Roman" w:hAnsi="Times New Roman" w:cs="Times New Roman"/>
          <w:sz w:val="20"/>
          <w:szCs w:val="20"/>
        </w:rPr>
        <w:t xml:space="preserve">for </w:t>
      </w:r>
      <w:r>
        <w:rPr>
          <w:rFonts w:hint="eastAsia" w:ascii="Times New Roman" w:hAnsi="Times New Roman" w:cs="Times New Roman"/>
          <w:sz w:val="20"/>
          <w:szCs w:val="20"/>
        </w:rPr>
        <w:t xml:space="preserve">the first </w:t>
      </w:r>
      <w:r>
        <w:rPr>
          <w:rFonts w:ascii="Times New Roman" w:hAnsi="Times New Roman" w:cs="Times New Roman"/>
          <w:sz w:val="20"/>
          <w:szCs w:val="20"/>
        </w:rPr>
        <w:t xml:space="preserve">DCI format with CRC scrambled by G-RNTI within type-3 CSS, it should always be monitored by the UE. For </w:t>
      </w:r>
      <w:r>
        <w:rPr>
          <w:rFonts w:hint="eastAsia" w:ascii="Times New Roman" w:hAnsi="Times New Roman" w:cs="Times New Roman"/>
          <w:sz w:val="20"/>
          <w:szCs w:val="20"/>
        </w:rPr>
        <w:t xml:space="preserve">the second </w:t>
      </w:r>
      <w:r>
        <w:rPr>
          <w:rFonts w:ascii="Times New Roman" w:hAnsi="Times New Roman" w:cs="Times New Roman"/>
          <w:sz w:val="20"/>
          <w:szCs w:val="20"/>
        </w:rPr>
        <w:t>DCI format with CRC scrambled by G-RNTI within type-3 CSS, the UE determines monitoring priority according to search space index and further decides whether to monitor</w:t>
      </w:r>
      <w:bookmarkEnd w:id="14"/>
      <w:r>
        <w:rPr>
          <w:rFonts w:ascii="Times New Roman" w:hAnsi="Times New Roman" w:cs="Times New Roman"/>
          <w:sz w:val="20"/>
          <w:szCs w:val="20"/>
        </w:rPr>
        <w:t>.</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11</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If the type-x CSS is defined as a type-3 CSS, the following UE behavior on Type-3 CSS monitoring should be defined,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first </w:t>
      </w:r>
      <w:r>
        <w:rPr>
          <w:rFonts w:ascii="Times New Roman" w:hAnsi="Times New Roman" w:cs="Times New Roman"/>
          <w:i/>
          <w:iCs/>
          <w:sz w:val="20"/>
          <w:szCs w:val="20"/>
          <w:lang w:val="en-US"/>
        </w:rPr>
        <w:t xml:space="preserve">DCI format with CRC scrambled by G-RNTI within type-3 CSS, it should always be monitored by the UE.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second </w:t>
      </w:r>
      <w:r>
        <w:rPr>
          <w:rFonts w:ascii="Times New Roman" w:hAnsi="Times New Roman" w:cs="Times New Roman"/>
          <w:i/>
          <w:iCs/>
          <w:sz w:val="20"/>
          <w:szCs w:val="20"/>
          <w:lang w:val="en-US"/>
        </w:rPr>
        <w:t>DCI format with CRC scrambled by G-RNTI within type-3 CSS, the UE determines monitoring priority according to search space index and further decides whether to monitor</w:t>
      </w:r>
      <w:r>
        <w:rPr>
          <w:rFonts w:hint="eastAsia" w:ascii="Times New Roman" w:hAnsi="Times New Roman" w:eastAsia="宋体" w:cs="Times New Roman"/>
          <w:i/>
          <w:iCs/>
          <w:sz w:val="20"/>
          <w:szCs w:val="20"/>
          <w:lang w:val="en-US"/>
        </w:rPr>
        <w:t>.</w:t>
      </w:r>
    </w:p>
    <w:p>
      <w:pPr>
        <w:pStyle w:val="2"/>
        <w:rPr>
          <w:lang w:val="en-US" w:eastAsia="zh-CN"/>
        </w:rPr>
      </w:pPr>
      <w:r>
        <w:rPr>
          <w:rFonts w:hint="eastAsia"/>
          <w:lang w:val="en-US" w:eastAsia="zh-CN"/>
        </w:rPr>
        <w:t>D</w:t>
      </w:r>
      <w:r>
        <w:rPr>
          <w:lang w:val="en-US" w:eastAsia="zh-CN"/>
        </w:rPr>
        <w:t xml:space="preserve">etailed design of </w:t>
      </w:r>
      <w:r>
        <w:rPr>
          <w:rFonts w:hint="eastAsia"/>
          <w:lang w:val="en-US" w:eastAsia="zh-CN"/>
        </w:rPr>
        <w:t>GC-</w:t>
      </w:r>
      <w:r>
        <w:rPr>
          <w:lang w:val="en-US" w:eastAsia="zh-CN"/>
        </w:rPr>
        <w:t>PDSCH</w:t>
      </w:r>
    </w:p>
    <w:p>
      <w:pPr>
        <w:pStyle w:val="3"/>
        <w:rPr>
          <w:lang w:val="en-US" w:eastAsia="zh-CN"/>
        </w:rPr>
      </w:pPr>
      <w:r>
        <w:rPr>
          <w:rFonts w:hint="eastAsia"/>
          <w:lang w:val="en-US" w:eastAsia="zh-CN"/>
        </w:rPr>
        <w:t>4.1</w:t>
      </w:r>
      <w:r>
        <w:rPr>
          <w:rFonts w:hint="eastAsia"/>
          <w:lang w:val="en-US" w:eastAsia="zh-CN"/>
        </w:rPr>
        <w:tab/>
      </w:r>
      <w:r>
        <w:rPr>
          <w:rFonts w:hint="eastAsia"/>
          <w:lang w:val="en-US" w:eastAsia="zh-CN"/>
        </w:rPr>
        <w:t>TBS determination</w:t>
      </w:r>
    </w:p>
    <w:p>
      <w:pPr>
        <w:spacing w:after="180"/>
        <w:rPr>
          <w:rFonts w:ascii="Times New Roman" w:hAnsi="Times New Roman" w:cs="Times New Roman"/>
          <w:sz w:val="20"/>
          <w:szCs w:val="20"/>
        </w:rPr>
      </w:pPr>
      <w:r>
        <w:rPr>
          <w:rFonts w:hint="eastAsia" w:ascii="Times New Roman" w:hAnsi="Times New Roman" w:cs="Times New Roman"/>
          <w:sz w:val="20"/>
          <w:szCs w:val="20"/>
        </w:rPr>
        <w:t>The following agreement was reached during RAN1#106-e about LBRM and TBS determination for GC-PDSCH.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For LBRM and TBS determination for GC-PDSCH:</w:t>
            </w:r>
          </w:p>
          <w:p>
            <w:pPr>
              <w:numPr>
                <w:ilvl w:val="0"/>
                <w:numId w:val="21"/>
              </w:num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The maximum number of layers can be provided by </w:t>
            </w:r>
            <w:r>
              <w:rPr>
                <w:rFonts w:ascii="Times New Roman" w:hAnsi="Times New Roman" w:cs="Times New Roman"/>
                <w:i/>
                <w:iCs/>
                <w:sz w:val="18"/>
                <w:szCs w:val="20"/>
              </w:rPr>
              <w:t>maxMIMO-Layers</w:t>
            </w:r>
            <w:r>
              <w:rPr>
                <w:rFonts w:ascii="Times New Roman" w:hAnsi="Times New Roman" w:cs="Times New Roman"/>
                <w:sz w:val="18"/>
                <w:szCs w:val="20"/>
              </w:rPr>
              <w:t xml:space="preserve"> in </w:t>
            </w:r>
            <w:r>
              <w:rPr>
                <w:rFonts w:ascii="Times New Roman" w:hAnsi="Times New Roman" w:cs="Times New Roman"/>
                <w:i/>
                <w:iCs/>
                <w:sz w:val="18"/>
                <w:szCs w:val="20"/>
              </w:rPr>
              <w:t>PDSCH-Config</w:t>
            </w:r>
            <w:r>
              <w:rPr>
                <w:rFonts w:ascii="Times New Roman" w:hAnsi="Times New Roman" w:cs="Times New Roman"/>
                <w:sz w:val="18"/>
                <w:szCs w:val="20"/>
              </w:rPr>
              <w:t xml:space="preserve"> for MBS in CFR; if not provided, a default value is defined.</w:t>
            </w:r>
          </w:p>
          <w:p>
            <w:pPr>
              <w:numPr>
                <w:ilvl w:val="1"/>
                <w:numId w:val="14"/>
              </w:numPr>
              <w:spacing w:before="0" w:line="240" w:lineRule="auto"/>
              <w:rPr>
                <w:rFonts w:ascii="Times New Roman" w:hAnsi="Times New Roman" w:cs="Times New Roman"/>
                <w:sz w:val="18"/>
                <w:szCs w:val="20"/>
              </w:rPr>
            </w:pPr>
            <w:r>
              <w:rPr>
                <w:rFonts w:ascii="Times New Roman" w:hAnsi="Times New Roman" w:cs="Times New Roman"/>
                <w:sz w:val="18"/>
                <w:szCs w:val="20"/>
              </w:rPr>
              <w:t>FFS the default value.</w:t>
            </w:r>
          </w:p>
          <w:p>
            <w:pPr>
              <w:numPr>
                <w:ilvl w:val="0"/>
                <w:numId w:val="21"/>
              </w:num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The maximum modulation order can be determined from mcs-Table in PDSCH-Config for MBS in CFR; </w:t>
            </w:r>
          </w:p>
          <w:p>
            <w:pPr>
              <w:numPr>
                <w:ilvl w:val="1"/>
                <w:numId w:val="14"/>
              </w:num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FFS: if </w:t>
            </w:r>
            <w:r>
              <w:rPr>
                <w:rFonts w:ascii="Times New Roman" w:hAnsi="Times New Roman" w:cs="Times New Roman"/>
                <w:i/>
                <w:iCs/>
                <w:sz w:val="18"/>
                <w:szCs w:val="20"/>
              </w:rPr>
              <w:t>mcs-Table</w:t>
            </w:r>
            <w:r>
              <w:rPr>
                <w:rFonts w:ascii="Times New Roman" w:hAnsi="Times New Roman" w:cs="Times New Roman"/>
                <w:sz w:val="18"/>
                <w:szCs w:val="20"/>
              </w:rPr>
              <w:t xml:space="preserve"> in </w:t>
            </w:r>
            <w:r>
              <w:rPr>
                <w:rFonts w:ascii="Times New Roman" w:hAnsi="Times New Roman" w:cs="Times New Roman"/>
                <w:i/>
                <w:iCs/>
                <w:sz w:val="18"/>
                <w:szCs w:val="20"/>
              </w:rPr>
              <w:t>PDSCH-Config</w:t>
            </w:r>
            <w:r>
              <w:rPr>
                <w:rFonts w:ascii="Times New Roman" w:hAnsi="Times New Roman" w:cs="Times New Roman"/>
                <w:sz w:val="18"/>
                <w:szCs w:val="20"/>
              </w:rPr>
              <w:t xml:space="preserve"> for MBS is not configured in CFR, a value determined from </w:t>
            </w:r>
            <w:r>
              <w:rPr>
                <w:rFonts w:ascii="Times New Roman" w:hAnsi="Times New Roman" w:cs="Times New Roman"/>
                <w:i/>
                <w:iCs/>
                <w:sz w:val="18"/>
                <w:szCs w:val="20"/>
              </w:rPr>
              <w:t>mcs-Table</w:t>
            </w:r>
            <w:r>
              <w:rPr>
                <w:rFonts w:ascii="Times New Roman" w:hAnsi="Times New Roman" w:cs="Times New Roman"/>
                <w:sz w:val="18"/>
                <w:szCs w:val="20"/>
              </w:rPr>
              <w:t xml:space="preserve"> in </w:t>
            </w:r>
            <w:r>
              <w:rPr>
                <w:rFonts w:ascii="Times New Roman" w:hAnsi="Times New Roman" w:cs="Times New Roman"/>
                <w:i/>
                <w:iCs/>
                <w:sz w:val="18"/>
                <w:szCs w:val="20"/>
              </w:rPr>
              <w:t>PDSCH-Config</w:t>
            </w:r>
            <w:r>
              <w:rPr>
                <w:rFonts w:ascii="Times New Roman" w:hAnsi="Times New Roman" w:cs="Times New Roman"/>
                <w:sz w:val="18"/>
                <w:szCs w:val="20"/>
              </w:rPr>
              <w:t xml:space="preserve"> for unicast in the active DL BWP is used; if the </w:t>
            </w:r>
            <w:r>
              <w:rPr>
                <w:rFonts w:ascii="Times New Roman" w:hAnsi="Times New Roman" w:cs="Times New Roman"/>
                <w:i/>
                <w:iCs/>
                <w:sz w:val="18"/>
                <w:szCs w:val="20"/>
              </w:rPr>
              <w:t>mcs-Table</w:t>
            </w:r>
            <w:r>
              <w:rPr>
                <w:rFonts w:ascii="Times New Roman" w:hAnsi="Times New Roman" w:cs="Times New Roman"/>
                <w:sz w:val="18"/>
                <w:szCs w:val="20"/>
              </w:rPr>
              <w:t xml:space="preserve"> in </w:t>
            </w:r>
            <w:r>
              <w:rPr>
                <w:rFonts w:ascii="Times New Roman" w:hAnsi="Times New Roman" w:cs="Times New Roman"/>
                <w:i/>
                <w:iCs/>
                <w:sz w:val="18"/>
                <w:szCs w:val="20"/>
              </w:rPr>
              <w:t>PDSCH-Config</w:t>
            </w:r>
            <w:r>
              <w:rPr>
                <w:rFonts w:ascii="Times New Roman" w:hAnsi="Times New Roman" w:cs="Times New Roman"/>
                <w:sz w:val="18"/>
                <w:szCs w:val="20"/>
              </w:rPr>
              <w:t xml:space="preserve"> for unicast is not configured, Table 5.1.3.1-1 in TS38.214 is used (similar as the default value in R16). </w:t>
            </w:r>
          </w:p>
          <w:p>
            <w:pPr>
              <w:numPr>
                <w:ilvl w:val="0"/>
                <w:numId w:val="21"/>
              </w:numPr>
              <w:spacing w:before="0" w:line="240" w:lineRule="auto"/>
              <w:rPr>
                <w:rFonts w:ascii="Times New Roman" w:hAnsi="Times New Roman" w:cs="Times New Roman"/>
                <w:sz w:val="18"/>
                <w:szCs w:val="20"/>
              </w:rPr>
            </w:pPr>
            <w:r>
              <w:rPr>
                <w:rFonts w:ascii="Times New Roman" w:hAnsi="Times New Roman" w:cs="Times New Roman"/>
                <w:sz w:val="18"/>
                <w:szCs w:val="20"/>
              </w:rPr>
              <w:t>xOverhead can be provided in PDSCH-Config for MBS in CFR; if not provided, a default value of zero is used.</w:t>
            </w:r>
          </w:p>
          <w:p>
            <w:pPr>
              <w:numPr>
                <w:ilvl w:val="0"/>
                <w:numId w:val="21"/>
              </w:numPr>
              <w:spacing w:before="0" w:line="240" w:lineRule="auto"/>
              <w:rPr>
                <w:rFonts w:ascii="Times New Roman" w:hAnsi="Times New Roman" w:cs="Times New Roman"/>
                <w:sz w:val="18"/>
                <w:szCs w:val="20"/>
              </w:rPr>
            </w:pPr>
            <w:r>
              <w:rPr>
                <w:rFonts w:ascii="Times New Roman" w:hAnsi="Times New Roman" w:cs="Times New Roman"/>
                <w:sz w:val="18"/>
                <w:szCs w:val="20"/>
              </w:rPr>
              <w:t>The number of PRBs is determined based on the size of CFR.</w:t>
            </w:r>
          </w:p>
          <w:p>
            <w:pPr>
              <w:spacing w:before="0" w:line="240" w:lineRule="auto"/>
              <w:rPr>
                <w:rFonts w:ascii="Times New Roman" w:hAnsi="Times New Roman" w:cs="Times New Roman"/>
                <w:sz w:val="18"/>
                <w:szCs w:val="20"/>
              </w:rPr>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For keeping a same understanding on LBRM and TBS determination among a group of UEs receiving the same MBS services, some rules on determination of parameters of </w:t>
      </w:r>
      <w:r>
        <w:rPr>
          <w:rFonts w:ascii="Times New Roman" w:hAnsi="Times New Roman" w:cs="Times New Roman"/>
          <w:sz w:val="20"/>
          <w:szCs w:val="20"/>
        </w:rPr>
        <w:t>‘</w:t>
      </w:r>
      <w:r>
        <w:rPr>
          <w:rFonts w:hint="eastAsia" w:ascii="Times New Roman" w:hAnsi="Times New Roman" w:cs="Times New Roman"/>
          <w:sz w:val="20"/>
          <w:szCs w:val="20"/>
        </w:rPr>
        <w:t>t</w:t>
      </w:r>
      <w:r>
        <w:rPr>
          <w:rFonts w:ascii="Times New Roman" w:hAnsi="Times New Roman" w:cs="Times New Roman"/>
          <w:sz w:val="20"/>
          <w:szCs w:val="20"/>
        </w:rPr>
        <w:t>he maximum number of layers’</w:t>
      </w:r>
      <w:r>
        <w:rPr>
          <w:rFonts w:hint="eastAsia" w:ascii="Times New Roman" w:hAnsi="Times New Roman" w:cs="Times New Roman"/>
          <w:sz w:val="20"/>
          <w:szCs w:val="20"/>
        </w:rPr>
        <w:t xml:space="preserve"> and </w:t>
      </w:r>
      <w:r>
        <w:rPr>
          <w:rFonts w:ascii="Times New Roman" w:hAnsi="Times New Roman" w:cs="Times New Roman"/>
          <w:sz w:val="20"/>
          <w:szCs w:val="20"/>
        </w:rPr>
        <w:t>‘xOverhead’</w:t>
      </w:r>
      <w:r>
        <w:rPr>
          <w:rFonts w:hint="eastAsia" w:ascii="Times New Roman" w:hAnsi="Times New Roman" w:cs="Times New Roman"/>
          <w:sz w:val="20"/>
          <w:szCs w:val="20"/>
        </w:rPr>
        <w:t xml:space="preserve"> have been defined. That is, a default value will be used if they are not provided via RRC signaling. For the parameter of </w:t>
      </w:r>
      <w:r>
        <w:rPr>
          <w:rFonts w:ascii="Times New Roman" w:hAnsi="Times New Roman" w:cs="Times New Roman"/>
          <w:sz w:val="20"/>
          <w:szCs w:val="20"/>
        </w:rPr>
        <w:t>‘</w:t>
      </w:r>
      <w:r>
        <w:rPr>
          <w:rFonts w:hint="eastAsia" w:ascii="Times New Roman" w:hAnsi="Times New Roman" w:cs="Times New Roman"/>
          <w:sz w:val="20"/>
          <w:szCs w:val="20"/>
        </w:rPr>
        <w:t>the</w:t>
      </w:r>
      <w:r>
        <w:rPr>
          <w:rFonts w:ascii="Times New Roman" w:hAnsi="Times New Roman" w:cs="Times New Roman"/>
          <w:sz w:val="20"/>
          <w:szCs w:val="20"/>
        </w:rPr>
        <w:t xml:space="preserve"> maximum modulation order’</w:t>
      </w:r>
      <w:r>
        <w:rPr>
          <w:rFonts w:hint="eastAsia" w:ascii="Times New Roman" w:hAnsi="Times New Roman" w:cs="Times New Roman"/>
          <w:sz w:val="20"/>
          <w:szCs w:val="20"/>
        </w:rPr>
        <w:t>, we failed to see its particularity.</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And a similar rule should also be used, that is, </w:t>
      </w:r>
      <w:bookmarkStart w:id="15" w:name="OLE_LINK32"/>
      <w:r>
        <w:rPr>
          <w:rFonts w:hint="eastAsia" w:ascii="Times New Roman" w:hAnsi="Times New Roman" w:cs="Times New Roman"/>
          <w:sz w:val="20"/>
          <w:szCs w:val="20"/>
        </w:rPr>
        <w:t>t</w:t>
      </w:r>
      <w:r>
        <w:rPr>
          <w:rFonts w:ascii="Times New Roman" w:hAnsi="Times New Roman" w:cs="Times New Roman"/>
          <w:sz w:val="20"/>
          <w:szCs w:val="20"/>
        </w:rPr>
        <w:t xml:space="preserve">he maximum modulation order can be determined from </w:t>
      </w:r>
      <w:r>
        <w:rPr>
          <w:rFonts w:ascii="Times New Roman" w:hAnsi="Times New Roman" w:cs="Times New Roman"/>
          <w:i/>
          <w:iCs/>
          <w:sz w:val="20"/>
          <w:szCs w:val="20"/>
        </w:rPr>
        <w:t>mcs-Table</w:t>
      </w:r>
      <w:r>
        <w:rPr>
          <w:rFonts w:ascii="Times New Roman" w:hAnsi="Times New Roman" w:cs="Times New Roman"/>
          <w:sz w:val="20"/>
          <w:szCs w:val="20"/>
        </w:rPr>
        <w:t xml:space="preserve"> in </w:t>
      </w:r>
      <w:r>
        <w:rPr>
          <w:rFonts w:ascii="Times New Roman" w:hAnsi="Times New Roman" w:cs="Times New Roman"/>
          <w:i/>
          <w:iCs/>
          <w:sz w:val="20"/>
          <w:szCs w:val="20"/>
        </w:rPr>
        <w:t>PDSCH-Config</w:t>
      </w:r>
      <w:r>
        <w:rPr>
          <w:rFonts w:ascii="Times New Roman" w:hAnsi="Times New Roman" w:cs="Times New Roman"/>
          <w:sz w:val="20"/>
          <w:szCs w:val="20"/>
        </w:rPr>
        <w:t xml:space="preserve"> for MBS in CFR</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if </w:t>
      </w:r>
      <w:r>
        <w:rPr>
          <w:rFonts w:ascii="Times New Roman" w:hAnsi="Times New Roman" w:cs="Times New Roman"/>
          <w:i/>
          <w:iCs/>
          <w:sz w:val="20"/>
          <w:szCs w:val="20"/>
        </w:rPr>
        <w:t>mcs-Table</w:t>
      </w:r>
      <w:r>
        <w:rPr>
          <w:rFonts w:ascii="Times New Roman" w:hAnsi="Times New Roman" w:cs="Times New Roman"/>
          <w:sz w:val="20"/>
          <w:szCs w:val="20"/>
        </w:rPr>
        <w:t xml:space="preserve"> in PDSCH-Config for MBS is not configured in CFR, Table 5.1.3.1-1 in TS38.214 is used</w:t>
      </w:r>
      <w:bookmarkEnd w:id="15"/>
      <w:r>
        <w:rPr>
          <w:rFonts w:hint="eastAsia" w:ascii="Times New Roman" w:hAnsi="Times New Roman" w:cs="Times New Roman"/>
          <w:sz w:val="20"/>
          <w:szCs w:val="20"/>
        </w:rPr>
        <w:t>.</w:t>
      </w:r>
    </w:p>
    <w:p>
      <w:pPr>
        <w:spacing w:after="180"/>
        <w:rPr>
          <w:rFonts w:ascii="Times New Roman" w:hAnsi="Times New Roman" w:cs="Times New Roman"/>
          <w:i/>
          <w:sz w:val="20"/>
          <w:szCs w:val="20"/>
        </w:rPr>
      </w:pPr>
      <w:bookmarkStart w:id="16" w:name="OLE_LINK4"/>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12</w:t>
      </w:r>
      <w:r>
        <w:rPr>
          <w:rFonts w:ascii="Times New Roman" w:hAnsi="Times New Roman" w:cs="Times New Roman"/>
          <w:i/>
          <w:sz w:val="20"/>
          <w:szCs w:val="20"/>
          <w:lang w:val="en-GB"/>
        </w:rPr>
        <w:t xml:space="preserve">: </w:t>
      </w:r>
      <w:r>
        <w:rPr>
          <w:rFonts w:ascii="Times New Roman" w:hAnsi="Times New Roman" w:cs="Times New Roman"/>
          <w:i/>
          <w:sz w:val="20"/>
          <w:szCs w:val="20"/>
        </w:rPr>
        <w:t>For LBRM and TBS determination for GC-PDSCH</w:t>
      </w:r>
      <w:r>
        <w:rPr>
          <w:rFonts w:hint="eastAsia" w:ascii="Times New Roman" w:hAnsi="Times New Roman" w:cs="Times New Roman"/>
          <w:i/>
          <w:sz w:val="20"/>
          <w:szCs w:val="20"/>
        </w:rPr>
        <w:t>, t</w:t>
      </w:r>
      <w:r>
        <w:rPr>
          <w:rFonts w:ascii="Times New Roman" w:hAnsi="Times New Roman" w:cs="Times New Roman"/>
          <w:i/>
          <w:sz w:val="20"/>
          <w:szCs w:val="20"/>
        </w:rPr>
        <w:t>he maximum modulation order can be determined from mcs-Table in PDSCH-Config for MBS in CFR;</w:t>
      </w:r>
      <w:r>
        <w:rPr>
          <w:rFonts w:hint="eastAsia" w:ascii="Times New Roman" w:hAnsi="Times New Roman" w:cs="Times New Roman"/>
          <w:i/>
          <w:sz w:val="20"/>
          <w:szCs w:val="20"/>
        </w:rPr>
        <w:t xml:space="preserve"> </w:t>
      </w:r>
      <w:r>
        <w:rPr>
          <w:rFonts w:ascii="Times New Roman" w:hAnsi="Times New Roman" w:cs="Times New Roman"/>
          <w:i/>
          <w:sz w:val="20"/>
          <w:szCs w:val="20"/>
        </w:rPr>
        <w:t>if mcs-Table in PDSCH-Config for MBS is not configured in CFR, Table 5.1.3.1-1 in TS38.214 is used</w:t>
      </w:r>
      <w:r>
        <w:rPr>
          <w:rFonts w:hint="eastAsia" w:ascii="Times New Roman" w:hAnsi="Times New Roman" w:cs="Times New Roman"/>
          <w:i/>
          <w:sz w:val="20"/>
          <w:szCs w:val="20"/>
        </w:rPr>
        <w:t>.</w:t>
      </w:r>
      <w:r>
        <w:rPr>
          <w:rFonts w:ascii="Times New Roman" w:hAnsi="Times New Roman" w:cs="Times New Roman"/>
          <w:i/>
          <w:sz w:val="20"/>
          <w:szCs w:val="20"/>
        </w:rPr>
        <w:t xml:space="preserve"> </w:t>
      </w:r>
    </w:p>
    <w:bookmarkEnd w:id="16"/>
    <w:p>
      <w:pPr>
        <w:pStyle w:val="3"/>
        <w:rPr>
          <w:lang w:val="en-US" w:eastAsia="zh-CN"/>
        </w:rPr>
      </w:pPr>
      <w:r>
        <w:rPr>
          <w:rFonts w:hint="eastAsia"/>
          <w:lang w:val="en-US" w:eastAsia="zh-CN"/>
        </w:rPr>
        <w:t>4.</w:t>
      </w:r>
      <w:r>
        <w:rPr>
          <w:lang w:val="en-US" w:eastAsia="zh-CN"/>
        </w:rPr>
        <w:t>2</w:t>
      </w:r>
      <w:r>
        <w:rPr>
          <w:rFonts w:hint="eastAsia"/>
          <w:lang w:val="en-US" w:eastAsia="zh-CN"/>
        </w:rPr>
        <w:tab/>
      </w:r>
      <w:r>
        <w:rPr>
          <w:rFonts w:hint="eastAsia"/>
          <w:lang w:val="en-US" w:eastAsia="zh-CN"/>
        </w:rPr>
        <w:t>HARQ process management</w:t>
      </w:r>
    </w:p>
    <w:p>
      <w:pPr>
        <w:spacing w:after="180"/>
        <w:rPr>
          <w:rFonts w:ascii="Times New Roman" w:hAnsi="Times New Roman" w:cs="Times New Roman"/>
          <w:sz w:val="20"/>
          <w:szCs w:val="20"/>
        </w:rPr>
      </w:pPr>
      <w:r>
        <w:rPr>
          <w:rFonts w:ascii="Times New Roman" w:hAnsi="Times New Roman" w:cs="Times New Roman"/>
          <w:sz w:val="20"/>
          <w:szCs w:val="20"/>
        </w:rPr>
        <w:t xml:space="preserve">During RAN1#104b-e meeting, the following agreement on association between initial transmission or re-transmission for multicast based on PTM transmission scheme 1 and PTP re-transmission were achieved. And in RAN1#105-e meeting, the issue on NDI collision issue was further proposed and the following agreement was made for further study whether/how to differentiate the HARQ process ID used for PTP (re)transmission for unicast and PTP retransmission for multicast.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60" w:after="60" w:line="240" w:lineRule="auto"/>
              <w:rPr>
                <w:rFonts w:ascii="Times New Roman" w:hAnsi="Times New Roman" w:cs="Times New Roman"/>
                <w:sz w:val="18"/>
                <w:szCs w:val="20"/>
              </w:rPr>
            </w:pPr>
            <w:bookmarkStart w:id="17" w:name="OLE_LINK15"/>
            <w:r>
              <w:rPr>
                <w:rFonts w:ascii="Times New Roman" w:hAnsi="Times New Roman" w:cs="Times New Roman"/>
                <w:sz w:val="18"/>
                <w:szCs w:val="20"/>
                <w:highlight w:val="green"/>
              </w:rPr>
              <w:t>Agreement:</w:t>
            </w:r>
            <w:bookmarkStart w:id="18" w:name="OLE_LINK12"/>
            <w:r>
              <w:rPr>
                <w:rFonts w:ascii="Times New Roman" w:hAnsi="Times New Roman" w:cs="Times New Roman"/>
                <w:sz w:val="18"/>
                <w:szCs w:val="20"/>
              </w:rPr>
              <w:t xml:space="preserve"> in RAN1#104b-e</w:t>
            </w:r>
            <w:bookmarkEnd w:id="18"/>
          </w:p>
          <w:p>
            <w:pPr>
              <w:spacing w:before="60" w:after="60" w:line="240" w:lineRule="auto"/>
              <w:rPr>
                <w:rFonts w:ascii="Times New Roman" w:hAnsi="Times New Roman" w:cs="Times New Roman"/>
                <w:sz w:val="18"/>
                <w:szCs w:val="20"/>
              </w:rPr>
            </w:pPr>
            <w:bookmarkStart w:id="19" w:name="OLE_LINK27"/>
            <w:r>
              <w:rPr>
                <w:rFonts w:ascii="Times New Roman" w:hAnsi="Times New Roman" w:cs="Times New Roman"/>
                <w:sz w:val="18"/>
                <w:szCs w:val="20"/>
              </w:rPr>
              <w:t>The same HARQ process ID and NDI are used for PTM scheme 1 (re)transmissions and PTP retransmissions of the same TB.</w:t>
            </w:r>
          </w:p>
          <w:bookmarkEnd w:id="17"/>
          <w:bookmarkEnd w:id="19"/>
          <w:p>
            <w:pPr>
              <w:spacing w:before="60" w:after="6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r>
              <w:rPr>
                <w:rFonts w:ascii="Times New Roman" w:hAnsi="Times New Roman" w:cs="Times New Roman"/>
                <w:sz w:val="18"/>
                <w:szCs w:val="20"/>
              </w:rPr>
              <w:t xml:space="preserve"> in RAN1#105-e</w:t>
            </w:r>
          </w:p>
          <w:p>
            <w:pPr>
              <w:numPr>
                <w:ilvl w:val="255"/>
                <w:numId w:val="0"/>
              </w:numPr>
              <w:spacing w:before="60" w:after="60" w:line="240" w:lineRule="auto"/>
              <w:rPr>
                <w:rFonts w:ascii="Times New Roman" w:hAnsi="Times New Roman" w:cs="Times New Roman"/>
                <w:sz w:val="18"/>
                <w:szCs w:val="20"/>
              </w:rPr>
            </w:pPr>
            <w:r>
              <w:rPr>
                <w:rFonts w:ascii="Times New Roman" w:hAnsi="Times New Roman" w:cs="Times New Roman"/>
                <w:sz w:val="18"/>
                <w:szCs w:val="20"/>
              </w:rPr>
              <w:t>For HARQ process management, further study whether/how to differentiate the HARQ process ID used for PTP (re)transmission for unicast and PTP retransmission for multicast.</w:t>
            </w:r>
          </w:p>
        </w:tc>
      </w:tr>
    </w:tbl>
    <w:p>
      <w:pPr>
        <w:pStyle w:val="32"/>
        <w:spacing w:after="180"/>
        <w:rPr>
          <w:rFonts w:ascii="Times New Roman" w:hAnsi="Times New Roman" w:cs="Times New Roman"/>
          <w:sz w:val="20"/>
          <w:szCs w:val="20"/>
        </w:rPr>
      </w:pPr>
    </w:p>
    <w:p>
      <w:pPr>
        <w:pStyle w:val="32"/>
        <w:spacing w:after="180"/>
        <w:rPr>
          <w:rFonts w:ascii="Times New Roman" w:hAnsi="Times New Roman" w:cs="Times New Roman"/>
          <w:sz w:val="20"/>
          <w:szCs w:val="20"/>
        </w:rPr>
      </w:pPr>
      <w:r>
        <w:rPr>
          <w:rFonts w:ascii="Times New Roman" w:hAnsi="Times New Roman" w:cs="Times New Roman"/>
          <w:sz w:val="20"/>
          <w:szCs w:val="20"/>
        </w:rPr>
        <w:t xml:space="preserve">The HPID is shared among unicast and multicast transmission. When a HPID is used for multicast scheduled by PTM PDCCH, it is difficult to guarantee that the NDI in PTM PDCCH is toggled relative to that in each UE’s latest PTP PDCCH for unicast. </w:t>
      </w:r>
    </w:p>
    <w:p>
      <w:pPr>
        <w:pStyle w:val="32"/>
        <w:spacing w:after="180"/>
        <w:rPr>
          <w:rFonts w:ascii="Times New Roman" w:hAnsi="Times New Roman" w:cs="Times New Roman"/>
          <w:sz w:val="20"/>
          <w:szCs w:val="20"/>
        </w:rPr>
      </w:pPr>
      <w:r>
        <w:rPr>
          <w:rFonts w:ascii="Times New Roman" w:hAnsi="Times New Roman" w:cs="Times New Roman"/>
          <w:sz w:val="20"/>
          <w:szCs w:val="20"/>
        </w:rPr>
        <w:t>If a UE misses the PTM PDCCH, a PTP PDCCH for scheduling the retransmission of this multicast TB may be detected by the UE. According to the current agreement above, the value of NDI in the PTP PDCCH is same as that in the PTM PDCCH. And it can be the same as the NDI in the UE’s latest PTP PDCCH corresponding with the same HPID. Then, the UE will</w:t>
      </w:r>
      <w:bookmarkStart w:id="20" w:name="OLE_LINK3"/>
      <w:r>
        <w:rPr>
          <w:rFonts w:ascii="Times New Roman" w:hAnsi="Times New Roman" w:cs="Times New Roman"/>
          <w:sz w:val="20"/>
          <w:szCs w:val="20"/>
        </w:rPr>
        <w:t xml:space="preserve"> erroneously soft-combine</w:t>
      </w:r>
      <w:bookmarkEnd w:id="20"/>
      <w:r>
        <w:rPr>
          <w:rFonts w:ascii="Times New Roman" w:hAnsi="Times New Roman" w:cs="Times New Roman"/>
          <w:sz w:val="20"/>
          <w:szCs w:val="20"/>
        </w:rPr>
        <w:t xml:space="preserve"> the received TB(a retransmission of multicast TB) scheduled by PTP PDCCH with the HARQ buffer if it was NACK’ed for the latest unicast transmission. </w:t>
      </w:r>
    </w:p>
    <w:p>
      <w:pPr>
        <w:pStyle w:val="32"/>
        <w:spacing w:after="180"/>
        <w:rPr>
          <w:rFonts w:ascii="Times New Roman" w:hAnsi="Times New Roman" w:cs="Times New Roman"/>
          <w:sz w:val="20"/>
          <w:szCs w:val="20"/>
        </w:rPr>
      </w:pPr>
      <w:r>
        <w:rPr>
          <w:rFonts w:ascii="Times New Roman" w:hAnsi="Times New Roman" w:cs="Times New Roman"/>
          <w:sz w:val="20"/>
          <w:szCs w:val="20"/>
        </w:rPr>
        <w:t xml:space="preserve">Two potential ways can be considered to avoid the above errors, </w:t>
      </w:r>
    </w:p>
    <w:p>
      <w:pPr>
        <w:numPr>
          <w:ilvl w:val="0"/>
          <w:numId w:val="18"/>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Alt.1: Introducing an indicator in the PTP PDCCH to distinguish the PDSCH scheduled by the PTP PDCCH is a multicast TB or a unicast TB; </w:t>
      </w:r>
    </w:p>
    <w:p>
      <w:pPr>
        <w:numPr>
          <w:ilvl w:val="0"/>
          <w:numId w:val="18"/>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Alt.2: Setting </w:t>
      </w:r>
      <w:bookmarkStart w:id="21" w:name="OLE_LINK16"/>
      <w:r>
        <w:rPr>
          <w:rFonts w:ascii="Times New Roman" w:hAnsi="Times New Roman" w:cs="Times New Roman"/>
          <w:sz w:val="20"/>
          <w:szCs w:val="20"/>
        </w:rPr>
        <w:t>the value of the NDI in the PTP PDCCH for scheduling the retransmission of multicast TB to be toggled relative to the NDI in the UE’s latest PTP PDCCH for scheduling a unicast TB with the same HPID.</w:t>
      </w:r>
      <w:bookmarkEnd w:id="21"/>
      <w:r>
        <w:rPr>
          <w:rFonts w:ascii="Times New Roman" w:hAnsi="Times New Roman" w:cs="Times New Roman"/>
          <w:sz w:val="20"/>
          <w:szCs w:val="20"/>
        </w:rPr>
        <w:t xml:space="preserve"> </w:t>
      </w:r>
    </w:p>
    <w:p>
      <w:pPr>
        <w:pStyle w:val="32"/>
        <w:spacing w:after="180"/>
        <w:rPr>
          <w:rFonts w:ascii="Times New Roman" w:hAnsi="Times New Roman" w:cs="Times New Roman"/>
          <w:sz w:val="20"/>
          <w:szCs w:val="20"/>
        </w:rPr>
      </w:pPr>
      <w:r>
        <w:rPr>
          <w:rFonts w:ascii="Times New Roman" w:hAnsi="Times New Roman" w:cs="Times New Roman"/>
          <w:sz w:val="20"/>
          <w:szCs w:val="20"/>
        </w:rPr>
        <w:t>Alt.1 is a straightway way. The disadvantage is that the DCI size of PTP PDCCH will be increased and the reliability of all unicast PDCCHs will be reduced.</w:t>
      </w:r>
    </w:p>
    <w:p>
      <w:pPr>
        <w:pStyle w:val="32"/>
        <w:spacing w:after="180"/>
        <w:rPr>
          <w:rFonts w:ascii="Times New Roman" w:hAnsi="Times New Roman" w:cs="Times New Roman"/>
          <w:sz w:val="20"/>
          <w:szCs w:val="20"/>
        </w:rPr>
      </w:pPr>
      <w:r>
        <w:rPr>
          <w:rFonts w:ascii="Times New Roman" w:hAnsi="Times New Roman" w:cs="Times New Roman"/>
          <w:sz w:val="20"/>
          <w:szCs w:val="20"/>
        </w:rPr>
        <w:t>Table-</w:t>
      </w:r>
      <w:r>
        <w:rPr>
          <w:rFonts w:hint="eastAsia" w:ascii="Times New Roman" w:hAnsi="Times New Roman" w:cs="Times New Roman"/>
          <w:sz w:val="20"/>
          <w:szCs w:val="20"/>
        </w:rPr>
        <w:t>1</w:t>
      </w:r>
      <w:r>
        <w:rPr>
          <w:rFonts w:ascii="Times New Roman" w:hAnsi="Times New Roman" w:cs="Times New Roman"/>
          <w:sz w:val="20"/>
          <w:szCs w:val="20"/>
        </w:rPr>
        <w:t xml:space="preserve"> gives an example of Alt.2, as the value of NDI in PTP PDCCH for scheduling the retransmission of multicast is always toggled compared with that in the latest PTP PDCCH for unicast scheduling, there will be no erroneously soft-combination anymore even if the PTM PDCCH is missed. On the other hand, if the PTM PDCCH is received, the NDIs of PTM and PTP retransmission will not be always same. Then, the UE can assume that </w:t>
      </w:r>
      <w:r>
        <w:rPr>
          <w:rFonts w:hint="eastAsia" w:ascii="Times New Roman" w:hAnsi="Times New Roman" w:cs="Times New Roman"/>
          <w:sz w:val="20"/>
          <w:szCs w:val="20"/>
        </w:rPr>
        <w:t xml:space="preserve">a new TB is scheduled by the PTP PDCCH, through which </w:t>
      </w:r>
      <w:r>
        <w:rPr>
          <w:rFonts w:ascii="Times New Roman" w:hAnsi="Times New Roman" w:cs="Times New Roman"/>
          <w:sz w:val="20"/>
          <w:szCs w:val="20"/>
        </w:rPr>
        <w:t>erroneous soft-combin</w:t>
      </w:r>
      <w:r>
        <w:rPr>
          <w:rFonts w:hint="eastAsia" w:ascii="Times New Roman" w:hAnsi="Times New Roman" w:cs="Times New Roman"/>
          <w:sz w:val="20"/>
          <w:szCs w:val="20"/>
        </w:rPr>
        <w:t xml:space="preserve">ation can be avoided. </w:t>
      </w:r>
    </w:p>
    <w:p>
      <w:pPr>
        <w:pStyle w:val="32"/>
        <w:spacing w:after="180"/>
        <w:jc w:val="center"/>
        <w:rPr>
          <w:rFonts w:ascii="Times New Roman" w:hAnsi="Times New Roman" w:cs="Times New Roman"/>
          <w:b/>
          <w:bCs/>
          <w:sz w:val="20"/>
          <w:szCs w:val="20"/>
        </w:rPr>
      </w:pPr>
      <w:bookmarkStart w:id="22" w:name="OLE_LINK8"/>
      <w:r>
        <w:rPr>
          <w:rFonts w:ascii="Times New Roman" w:hAnsi="Times New Roman" w:cs="Times New Roman"/>
          <w:b/>
          <w:bCs/>
          <w:sz w:val="20"/>
          <w:szCs w:val="20"/>
        </w:rPr>
        <w:t>Table</w:t>
      </w:r>
      <w:bookmarkEnd w:id="22"/>
      <w:r>
        <w:rPr>
          <w:rFonts w:ascii="Times New Roman" w:hAnsi="Times New Roman" w:cs="Times New Roman"/>
          <w:b/>
          <w:bCs/>
          <w:sz w:val="20"/>
          <w:szCs w:val="20"/>
        </w:rPr>
        <w:t>-</w:t>
      </w:r>
      <w:r>
        <w:rPr>
          <w:rFonts w:hint="eastAsia" w:ascii="Times New Roman" w:hAnsi="Times New Roman" w:cs="Times New Roman"/>
          <w:b/>
          <w:bCs/>
          <w:sz w:val="20"/>
          <w:szCs w:val="20"/>
        </w:rPr>
        <w:t>1:</w:t>
      </w:r>
      <w:r>
        <w:rPr>
          <w:rFonts w:ascii="Times New Roman" w:hAnsi="Times New Roman" w:cs="Times New Roman"/>
          <w:b/>
          <w:bCs/>
          <w:sz w:val="20"/>
          <w:szCs w:val="20"/>
        </w:rPr>
        <w:t xml:space="preserve"> NDI values in different PDCCHs with same HPID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9"/>
        <w:gridCol w:w="1938"/>
        <w:gridCol w:w="1911"/>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UE</w:t>
            </w:r>
          </w:p>
        </w:tc>
        <w:tc>
          <w:tcPr>
            <w:tcW w:w="1938"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Latest PTP PDCCH for unicast scheduling</w:t>
            </w:r>
          </w:p>
        </w:tc>
        <w:tc>
          <w:tcPr>
            <w:tcW w:w="1911"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PTM PDCCH for multicast scheduling</w:t>
            </w:r>
          </w:p>
        </w:tc>
        <w:tc>
          <w:tcPr>
            <w:tcW w:w="2561" w:type="dxa"/>
            <w:tcBorders>
              <w:top w:val="single" w:color="4F81BD" w:sz="8" w:space="0"/>
              <w:left w:val="single" w:color="4F81BD" w:sz="8" w:space="0"/>
              <w:bottom w:val="single" w:color="FFFFFF" w:sz="4" w:space="0"/>
              <w:right w:val="single" w:color="4F81BD" w:sz="8" w:space="0"/>
            </w:tcBorders>
            <w:shd w:val="clear" w:color="auto" w:fill="4F81BD"/>
          </w:tcPr>
          <w:p>
            <w:pPr>
              <w:pStyle w:val="32"/>
              <w:spacing w:before="120" w:line="280" w:lineRule="atLeast"/>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PTP PDCCH for scheduling the retransmission of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UE1</w:t>
            </w:r>
          </w:p>
        </w:tc>
        <w:tc>
          <w:tcPr>
            <w:tcW w:w="1938"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0</w:t>
            </w:r>
          </w:p>
        </w:tc>
        <w:tc>
          <w:tcPr>
            <w:tcW w:w="1911"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2561" w:type="dxa"/>
            <w:tcBorders>
              <w:top w:val="single" w:color="FFFFFF" w:sz="4" w:space="0"/>
              <w:left w:val="single" w:color="4F81BD" w:sz="8" w:space="0"/>
              <w:bottom w:val="single" w:color="4F81BD" w:sz="8" w:space="0"/>
              <w:right w:val="single" w:color="4F81BD" w:sz="8" w:space="0"/>
            </w:tcBorders>
            <w:shd w:val="clear" w:color="auto" w:fill="B8CCE4"/>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UE2</w:t>
            </w:r>
          </w:p>
        </w:tc>
        <w:tc>
          <w:tcPr>
            <w:tcW w:w="1938"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1911"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2561" w:type="dxa"/>
            <w:tcBorders>
              <w:top w:val="single" w:color="4F81BD" w:sz="8" w:space="0"/>
              <w:left w:val="single" w:color="4F81BD" w:sz="8" w:space="0"/>
              <w:bottom w:val="single" w:color="4F81BD" w:sz="8" w:space="0"/>
              <w:right w:val="single" w:color="4F81BD" w:sz="8" w:space="0"/>
            </w:tcBorders>
            <w:shd w:val="clear" w:color="auto" w:fill="FFFFFF"/>
          </w:tcPr>
          <w:p>
            <w:pPr>
              <w:pStyle w:val="32"/>
              <w:spacing w:before="12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NDI = 0</w:t>
            </w:r>
          </w:p>
        </w:tc>
      </w:tr>
    </w:tbl>
    <w:p>
      <w:pPr>
        <w:pStyle w:val="32"/>
        <w:rPr>
          <w:rFonts w:ascii="Times New Roman" w:hAnsi="Times New Roman" w:cs="Times New Roman"/>
          <w:sz w:val="20"/>
          <w:szCs w:val="20"/>
        </w:rPr>
      </w:pPr>
    </w:p>
    <w:p>
      <w:pPr>
        <w:tabs>
          <w:tab w:val="left" w:pos="2160"/>
        </w:tabs>
        <w:spacing w:after="180"/>
        <w:rPr>
          <w:rFonts w:ascii="Times New Roman" w:hAnsi="Times New Roman" w:cs="Times New Roman"/>
          <w:bCs/>
          <w:sz w:val="20"/>
          <w:szCs w:val="20"/>
        </w:rPr>
      </w:pPr>
      <w:r>
        <w:rPr>
          <w:rFonts w:ascii="Times New Roman" w:hAnsi="Times New Roman" w:cs="Times New Roman"/>
          <w:bCs/>
          <w:sz w:val="20"/>
          <w:szCs w:val="20"/>
        </w:rPr>
        <w:t xml:space="preserve">According to the above analysis, Alt.2 can avoid </w:t>
      </w:r>
      <w:r>
        <w:rPr>
          <w:rFonts w:ascii="Times New Roman" w:hAnsi="Times New Roman" w:cs="Times New Roman"/>
          <w:sz w:val="20"/>
          <w:szCs w:val="20"/>
        </w:rPr>
        <w:t xml:space="preserve">erroneous </w:t>
      </w:r>
      <w:r>
        <w:rPr>
          <w:rFonts w:ascii="Times New Roman" w:hAnsi="Times New Roman" w:cs="Times New Roman"/>
          <w:bCs/>
          <w:sz w:val="20"/>
          <w:szCs w:val="20"/>
        </w:rPr>
        <w:t xml:space="preserve">combination without adding DCI size, which is preferred. </w:t>
      </w:r>
    </w:p>
    <w:p>
      <w:pPr>
        <w:spacing w:after="180"/>
        <w:rPr>
          <w:rFonts w:ascii="Times New Roman" w:hAnsi="Times New Roman" w:cs="Times New Roman"/>
          <w:i/>
          <w:sz w:val="20"/>
          <w:szCs w:val="20"/>
        </w:rPr>
      </w:pPr>
      <w:bookmarkStart w:id="23" w:name="OLE_LINK5"/>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13</w:t>
      </w:r>
      <w:r>
        <w:rPr>
          <w:rFonts w:ascii="Times New Roman" w:hAnsi="Times New Roman" w:cs="Times New Roman"/>
          <w:bCs/>
          <w:i/>
          <w:sz w:val="20"/>
          <w:szCs w:val="20"/>
          <w:lang w:val="en-GB"/>
        </w:rPr>
        <w:t xml:space="preserve">: </w:t>
      </w:r>
      <w:r>
        <w:rPr>
          <w:rFonts w:ascii="Times New Roman" w:hAnsi="Times New Roman" w:cs="Times New Roman"/>
          <w:bCs/>
          <w:i/>
          <w:sz w:val="20"/>
          <w:szCs w:val="20"/>
        </w:rPr>
        <w:t xml:space="preserve">Regarding how to </w:t>
      </w:r>
      <w:r>
        <w:rPr>
          <w:rFonts w:ascii="Times New Roman" w:hAnsi="Times New Roman" w:cs="Times New Roman"/>
          <w:i/>
          <w:sz w:val="20"/>
          <w:szCs w:val="20"/>
        </w:rPr>
        <w:t xml:space="preserve">differentiate the HARQ process ID used for PTP (re)transmission for unicast and PTP retransmission for multicast,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value of the NDI in the PTP PDCCH for scheduling the retransmission of multicast TB is toggled relative to the NDI in the UE’s latest PTP PDCCH for scheduling a unicast TB with the same HPID.</w:t>
      </w:r>
    </w:p>
    <w:bookmarkEnd w:id="23"/>
    <w:p>
      <w:pPr>
        <w:pStyle w:val="2"/>
        <w:rPr>
          <w:lang w:eastAsia="zh-CN"/>
        </w:rPr>
      </w:pPr>
      <w:r>
        <w:t>SFN operation</w:t>
      </w:r>
    </w:p>
    <w:p>
      <w:pPr>
        <w:tabs>
          <w:tab w:val="left" w:pos="2160"/>
        </w:tabs>
        <w:spacing w:after="180"/>
        <w:rPr>
          <w:rFonts w:ascii="Times New Roman" w:hAnsi="Times New Roman" w:cs="Times New Roman"/>
          <w:bCs/>
          <w:sz w:val="20"/>
          <w:szCs w:val="20"/>
          <w:lang w:val="en-GB"/>
        </w:rPr>
      </w:pPr>
      <w:r>
        <w:rPr>
          <w:rFonts w:ascii="Times New Roman" w:hAnsi="Times New Roman" w:cs="Times New Roman"/>
          <w:bCs/>
          <w:sz w:val="20"/>
          <w:szCs w:val="20"/>
          <w:lang w:val="en-GB"/>
        </w:rPr>
        <w:t xml:space="preserve">During </w:t>
      </w:r>
      <w:r>
        <w:rPr>
          <w:rFonts w:hint="eastAsia" w:ascii="Times New Roman" w:hAnsi="Times New Roman" w:cs="Times New Roman"/>
          <w:bCs/>
          <w:sz w:val="20"/>
          <w:szCs w:val="20"/>
        </w:rPr>
        <w:t xml:space="preserve">RAN1#106-e and </w:t>
      </w:r>
      <w:r>
        <w:rPr>
          <w:rFonts w:ascii="Times New Roman" w:hAnsi="Times New Roman" w:cs="Times New Roman"/>
          <w:bCs/>
          <w:sz w:val="20"/>
          <w:szCs w:val="20"/>
          <w:lang w:val="en-GB"/>
        </w:rPr>
        <w:t>RAN#93-e meeting</w:t>
      </w:r>
      <w:r>
        <w:rPr>
          <w:rFonts w:hint="eastAsia" w:ascii="Times New Roman" w:hAnsi="Times New Roman" w:cs="Times New Roman"/>
          <w:bCs/>
          <w:sz w:val="20"/>
          <w:szCs w:val="20"/>
        </w:rPr>
        <w:t>s</w:t>
      </w:r>
      <w:r>
        <w:rPr>
          <w:rFonts w:ascii="Times New Roman" w:hAnsi="Times New Roman" w:cs="Times New Roman"/>
          <w:bCs/>
          <w:sz w:val="20"/>
          <w:szCs w:val="20"/>
          <w:lang w:val="en-GB"/>
        </w:rPr>
        <w:t xml:space="preserve">, companies discussed whether to </w:t>
      </w:r>
      <w:r>
        <w:rPr>
          <w:rFonts w:hint="eastAsia" w:ascii="Times New Roman" w:hAnsi="Times New Roman" w:cs="Times New Roman"/>
          <w:bCs/>
          <w:sz w:val="20"/>
          <w:szCs w:val="20"/>
          <w:lang w:val="en-GB"/>
        </w:rPr>
        <w:t xml:space="preserve">standardize </w:t>
      </w:r>
      <w:r>
        <w:rPr>
          <w:rFonts w:hint="eastAsia" w:ascii="Times New Roman" w:hAnsi="Times New Roman" w:cs="Times New Roman"/>
          <w:bCs/>
          <w:sz w:val="20"/>
          <w:szCs w:val="20"/>
        </w:rPr>
        <w:t xml:space="preserve">SFN in the Rel-17 MBS WID and </w:t>
      </w:r>
      <w:r>
        <w:rPr>
          <w:rFonts w:ascii="Times New Roman" w:hAnsi="Times New Roman" w:cs="Times New Roman"/>
          <w:bCs/>
          <w:sz w:val="20"/>
          <w:szCs w:val="20"/>
          <w:lang w:val="en-GB"/>
        </w:rPr>
        <w:t xml:space="preserve">reached the following agreements </w:t>
      </w:r>
      <w:r>
        <w:rPr>
          <w:rFonts w:hint="eastAsia" w:ascii="Times New Roman" w:hAnsi="Times New Roman" w:cs="Times New Roman"/>
          <w:bCs/>
          <w:sz w:val="20"/>
          <w:szCs w:val="20"/>
        </w:rPr>
        <w:t xml:space="preserve">and conclusion </w:t>
      </w:r>
      <w:r>
        <w:rPr>
          <w:rFonts w:ascii="Times New Roman" w:hAnsi="Times New Roman" w:cs="Times New Roman"/>
          <w:bCs/>
          <w:sz w:val="20"/>
          <w:szCs w:val="20"/>
          <w:lang w:val="en-GB"/>
        </w:rPr>
        <w:t>[</w:t>
      </w:r>
      <w:r>
        <w:rPr>
          <w:rFonts w:hint="eastAsia" w:ascii="Times New Roman" w:hAnsi="Times New Roman" w:cs="Times New Roman"/>
          <w:bCs/>
          <w:sz w:val="20"/>
          <w:szCs w:val="20"/>
        </w:rPr>
        <w:t>2</w:t>
      </w:r>
      <w:r>
        <w:rPr>
          <w:rFonts w:ascii="Times New Roman" w:hAnsi="Times New Roman" w:cs="Times New Roman"/>
          <w:bCs/>
          <w:sz w:val="20"/>
          <w:szCs w:val="20"/>
          <w:lang w:val="en-GB"/>
        </w:rPr>
        <w:t>]</w:t>
      </w:r>
      <w:r>
        <w:rPr>
          <w:rFonts w:hint="eastAsia" w:ascii="Times New Roman" w:hAnsi="Times New Roman" w:cs="Times New Roman"/>
          <w:bCs/>
          <w:sz w:val="20"/>
          <w:szCs w:val="20"/>
        </w:rPr>
        <w:t>[</w:t>
      </w:r>
      <w:r>
        <w:rPr>
          <w:rFonts w:hint="eastAsia" w:ascii="Times New Roman" w:hAnsi="Times New Roman" w:cs="Times New Roman"/>
          <w:bCs/>
          <w:sz w:val="20"/>
          <w:szCs w:val="20"/>
          <w:lang w:val="en-US" w:eastAsia="zh-CN"/>
        </w:rPr>
        <w:t>4</w:t>
      </w:r>
      <w:r>
        <w:rPr>
          <w:rFonts w:hint="eastAsia" w:ascii="Times New Roman" w:hAnsi="Times New Roman" w:cs="Times New Roman"/>
          <w:bCs/>
          <w:sz w:val="20"/>
          <w:szCs w:val="20"/>
        </w:rPr>
        <w:t>]</w:t>
      </w:r>
      <w:r>
        <w:rPr>
          <w:rFonts w:ascii="Times New Roman" w:hAnsi="Times New Roman" w:cs="Times New Roman"/>
          <w:bCs/>
          <w:sz w:val="20"/>
          <w:szCs w:val="20"/>
          <w:lang w:val="en-GB"/>
        </w:rPr>
        <w:t xml:space="preserve">. </w:t>
      </w:r>
      <w:r>
        <w:rPr>
          <w:rFonts w:hint="eastAsia" w:ascii="Times New Roman" w:hAnsi="Times New Roman" w:cs="Times New Roman"/>
          <w:bCs/>
          <w:sz w:val="20"/>
          <w:szCs w:val="20"/>
        </w:rPr>
        <w:t xml:space="preserve">More specifically, any SFN operation is still transparent to the UE in Rel-17 MBS, and configurable scrambling sequence initialization and DMRS sequence generator initialization for GC-PDCCH/PDSCH can be further discussed in RAN1.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For initializing scrambling sequence generator for GC-PDCCH with the second DCI format, </w:t>
            </w:r>
          </w:p>
          <w:p>
            <w:pPr>
              <w:pStyle w:val="114"/>
              <w:numPr>
                <w:ilvl w:val="0"/>
                <w:numId w:val="19"/>
              </w:numPr>
              <w:spacing w:before="0" w:after="0" w:line="240" w:lineRule="auto"/>
              <w:rPr>
                <w:rFonts w:ascii="Times New Roman" w:hAnsi="Times New Roman" w:cs="Times New Roman"/>
                <w:sz w:val="18"/>
                <w:szCs w:val="20"/>
              </w:rPr>
            </w:pPr>
            <m:oMath>
              <m:sSub>
                <m:sSubPr>
                  <m:ctrlPr>
                    <w:rPr>
                      <w:rFonts w:ascii="Cambria Math" w:hAnsi="Cambria Math" w:cs="Times New Roman"/>
                      <w:i/>
                      <w:sz w:val="18"/>
                      <w:szCs w:val="20"/>
                    </w:rPr>
                  </m:ctrlPr>
                </m:sSub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ID</m:t>
                  </m:r>
                  <m:ctrlPr>
                    <w:rPr>
                      <w:rFonts w:ascii="Cambria Math" w:hAnsi="Cambria Math" w:cs="Times New Roman"/>
                      <w:i/>
                      <w:sz w:val="18"/>
                      <w:szCs w:val="20"/>
                    </w:rPr>
                  </m:ctrlPr>
                </m:sub>
              </m:sSub>
            </m:oMath>
            <w:r>
              <w:rPr>
                <w:rFonts w:ascii="Times New Roman" w:hAnsi="Times New Roman" w:cs="Times New Roman"/>
                <w:sz w:val="18"/>
                <w:szCs w:val="20"/>
              </w:rPr>
              <w:t xml:space="preserve"> equals the higher layer parameter</w:t>
            </w:r>
            <w:r>
              <w:rPr>
                <w:rFonts w:ascii="Times New Roman" w:hAnsi="Times New Roman" w:cs="Times New Roman"/>
                <w:i/>
                <w:iCs/>
                <w:sz w:val="18"/>
                <w:szCs w:val="20"/>
              </w:rPr>
              <w:t xml:space="preserve"> pdcch-DMRS-ScramblingID</w:t>
            </w:r>
            <w:r>
              <w:rPr>
                <w:rFonts w:ascii="Times New Roman" w:hAnsi="Times New Roman" w:cs="Times New Roman"/>
                <w:sz w:val="18"/>
                <w:szCs w:val="20"/>
              </w:rPr>
              <w:t xml:space="preserve"> if it is configured in the CORESET in a CFR used for the GC-PDCCH;</w:t>
            </w:r>
            <w:r>
              <w:rPr>
                <w:rFonts w:ascii="Times New Roman" w:hAnsi="Times New Roman" w:cs="Times New Roman"/>
                <w:i/>
                <w:sz w:val="18"/>
                <w:szCs w:val="20"/>
              </w:rPr>
              <w:t xml:space="preserve"> </w:t>
            </w:r>
            <m:oMath>
              <m:sSub>
                <m:sSubPr>
                  <m:ctrlPr>
                    <w:rPr>
                      <w:rFonts w:ascii="Cambria Math" w:hAnsi="Cambria Math" w:cs="Times New Roman"/>
                      <w:i/>
                      <w:sz w:val="18"/>
                      <w:szCs w:val="20"/>
                    </w:rPr>
                  </m:ctrlPr>
                </m:sSub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ID</m:t>
                  </m:r>
                  <m:ctrlPr>
                    <w:rPr>
                      <w:rFonts w:ascii="Cambria Math" w:hAnsi="Cambria Math" w:cs="Times New Roman"/>
                      <w:i/>
                      <w:sz w:val="18"/>
                      <w:szCs w:val="20"/>
                    </w:rPr>
                  </m:ctrlPr>
                </m:sub>
              </m:sSub>
              <m:r>
                <w:rPr>
                  <w:rFonts w:ascii="Cambria Math" w:hAnsi="Cambria Math" w:cs="Times New Roman"/>
                  <w:sz w:val="18"/>
                  <w:szCs w:val="20"/>
                </w:rPr>
                <m:t>=</m:t>
              </m:r>
              <m:sSubSup>
                <m:sSubSupPr>
                  <m:ctrlPr>
                    <w:rPr>
                      <w:rFonts w:ascii="Cambria Math" w:hAnsi="Cambria Math" w:cs="Times New Roman"/>
                      <w:i/>
                      <w:sz w:val="18"/>
                      <w:szCs w:val="20"/>
                    </w:rPr>
                  </m:ctrlPr>
                </m:sSubSup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ID</m:t>
                  </m:r>
                  <m:ctrlPr>
                    <w:rPr>
                      <w:rFonts w:ascii="Cambria Math" w:hAnsi="Cambria Math" w:cs="Times New Roman"/>
                      <w:i/>
                      <w:sz w:val="18"/>
                      <w:szCs w:val="20"/>
                    </w:rPr>
                  </m:ctrlPr>
                </m:sub>
                <m:sup>
                  <m:r>
                    <m:rPr>
                      <m:nor/>
                      <m:sty m:val="p"/>
                    </m:rPr>
                    <w:rPr>
                      <w:rFonts w:ascii="Cambria Math" w:hAnsi="Cambria Math" w:cs="Times New Roman"/>
                      <w:sz w:val="18"/>
                      <w:szCs w:val="20"/>
                    </w:rPr>
                    <m:t>cell</m:t>
                  </m:r>
                  <m:ctrlPr>
                    <w:rPr>
                      <w:rFonts w:ascii="Cambria Math" w:hAnsi="Cambria Math" w:cs="Times New Roman"/>
                      <w:i/>
                      <w:sz w:val="18"/>
                      <w:szCs w:val="20"/>
                    </w:rPr>
                  </m:ctrlPr>
                </m:sup>
              </m:sSubSup>
            </m:oMath>
            <w:r>
              <w:rPr>
                <w:rFonts w:ascii="Times New Roman" w:hAnsi="Times New Roman" w:cs="Times New Roman"/>
                <w:sz w:val="18"/>
                <w:szCs w:val="20"/>
              </w:rPr>
              <w:t xml:space="preserve"> otherwise.</w:t>
            </w:r>
          </w:p>
          <w:p>
            <w:pPr>
              <w:pStyle w:val="114"/>
              <w:numPr>
                <w:ilvl w:val="0"/>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 xml:space="preserve">FFS: Values for </w:t>
            </w:r>
            <m:oMath>
              <m:sSub>
                <m:sSubPr>
                  <m:ctrlPr>
                    <w:rPr>
                      <w:rFonts w:ascii="Cambria Math" w:hAnsi="Cambria Math" w:cs="Times New Roman"/>
                      <w:i/>
                      <w:sz w:val="18"/>
                      <w:szCs w:val="20"/>
                    </w:rPr>
                  </m:ctrlPr>
                </m:sSub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RNTI</m:t>
                  </m:r>
                  <m:ctrlPr>
                    <w:rPr>
                      <w:rFonts w:ascii="Cambria Math" w:hAnsi="Cambria Math" w:cs="Times New Roman"/>
                      <w:i/>
                      <w:sz w:val="18"/>
                      <w:szCs w:val="20"/>
                    </w:rPr>
                  </m:ctrlPr>
                </m:sub>
              </m:sSub>
            </m:oMath>
            <w:r>
              <w:rPr>
                <w:rFonts w:ascii="Times New Roman" w:hAnsi="Times New Roman" w:cs="Times New Roman"/>
                <w:sz w:val="18"/>
                <w:szCs w:val="20"/>
              </w:rPr>
              <w:t>. Choices include one or more of the following:</w:t>
            </w:r>
          </w:p>
          <w:p>
            <w:pPr>
              <w:pStyle w:val="114"/>
              <w:numPr>
                <w:ilvl w:val="1"/>
                <w:numId w:val="19"/>
              </w:numPr>
              <w:spacing w:before="0" w:after="0" w:line="240" w:lineRule="auto"/>
              <w:rPr>
                <w:rFonts w:ascii="Times New Roman" w:hAnsi="Times New Roman" w:cs="Times New Roman"/>
                <w:sz w:val="18"/>
                <w:szCs w:val="20"/>
              </w:rPr>
            </w:pPr>
            <w:r>
              <w:rPr>
                <w:rFonts w:ascii="Times New Roman" w:hAnsi="Times New Roman" w:cs="Times New Roman"/>
                <w:sz w:val="18"/>
                <w:szCs w:val="20"/>
              </w:rPr>
              <w:t>Alt1: G-RNTI used for the GC-PDCCH.</w:t>
            </w:r>
          </w:p>
          <w:p>
            <w:pPr>
              <w:pStyle w:val="114"/>
              <w:numPr>
                <w:ilvl w:val="1"/>
                <w:numId w:val="19"/>
              </w:numPr>
              <w:spacing w:before="0" w:after="0" w:line="240" w:lineRule="auto"/>
              <w:rPr>
                <w:rFonts w:ascii="Times New Roman" w:hAnsi="Times New Roman" w:cs="Times New Roman"/>
                <w:sz w:val="18"/>
                <w:szCs w:val="20"/>
              </w:rPr>
            </w:pPr>
            <w:r>
              <w:rPr>
                <w:rFonts w:ascii="Times New Roman" w:hAnsi="Times New Roman" w:eastAsia="Times New Roman" w:cs="Times New Roman"/>
                <w:sz w:val="18"/>
                <w:szCs w:val="20"/>
              </w:rPr>
              <w:t>Alt2: 0</w:t>
            </w:r>
          </w:p>
          <w:p>
            <w:pPr>
              <w:pStyle w:val="114"/>
              <w:numPr>
                <w:ilvl w:val="1"/>
                <w:numId w:val="19"/>
              </w:numPr>
              <w:spacing w:before="0" w:after="0" w:line="240" w:lineRule="auto"/>
              <w:rPr>
                <w:rFonts w:ascii="Times New Roman" w:hAnsi="Times New Roman" w:cs="Times New Roman"/>
                <w:sz w:val="18"/>
                <w:szCs w:val="20"/>
              </w:rPr>
            </w:pPr>
            <w:r>
              <w:rPr>
                <w:rFonts w:ascii="Times New Roman" w:hAnsi="Times New Roman" w:eastAsia="Times New Roman" w:cs="Times New Roman"/>
                <w:sz w:val="18"/>
                <w:szCs w:val="20"/>
              </w:rPr>
              <w:t>Alt3: Other fixed values</w:t>
            </w:r>
          </w:p>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For initializing scrambling sequence generator for GC-PDSCH scheduled by the second DCI format for multicast received in Type-x CSS, </w:t>
            </w:r>
          </w:p>
          <w:p>
            <w:pPr>
              <w:pStyle w:val="114"/>
              <w:numPr>
                <w:ilvl w:val="0"/>
                <w:numId w:val="19"/>
              </w:numPr>
              <w:spacing w:before="0" w:after="0" w:line="240" w:lineRule="auto"/>
              <w:rPr>
                <w:rFonts w:ascii="Times New Roman" w:hAnsi="Times New Roman" w:cs="Times New Roman"/>
                <w:sz w:val="18"/>
                <w:szCs w:val="20"/>
              </w:rPr>
            </w:pPr>
            <m:oMath>
              <m:sSub>
                <m:sSubPr>
                  <m:ctrlPr>
                    <w:rPr>
                      <w:rFonts w:ascii="Cambria Math" w:hAnsi="Cambria Math" w:cs="Times New Roman"/>
                      <w:i/>
                      <w:sz w:val="18"/>
                      <w:szCs w:val="20"/>
                    </w:rPr>
                  </m:ctrlPr>
                </m:sSub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ID</m:t>
                  </m:r>
                  <m:ctrlPr>
                    <w:rPr>
                      <w:rFonts w:ascii="Cambria Math" w:hAnsi="Cambria Math" w:cs="Times New Roman"/>
                      <w:i/>
                      <w:sz w:val="18"/>
                      <w:szCs w:val="20"/>
                    </w:rPr>
                  </m:ctrlPr>
                </m:sub>
              </m:sSub>
            </m:oMath>
            <w:r>
              <w:rPr>
                <w:rFonts w:ascii="Times New Roman" w:hAnsi="Times New Roman" w:cs="Times New Roman"/>
                <w:sz w:val="18"/>
                <w:szCs w:val="20"/>
              </w:rPr>
              <w:t xml:space="preserve"> equals the higher layer parameter</w:t>
            </w:r>
            <w:r>
              <w:rPr>
                <w:rFonts w:ascii="Times New Roman" w:hAnsi="Times New Roman" w:cs="Times New Roman"/>
                <w:i/>
                <w:iCs/>
                <w:sz w:val="18"/>
                <w:szCs w:val="20"/>
              </w:rPr>
              <w:t xml:space="preserve"> </w:t>
            </w:r>
            <w:r>
              <w:rPr>
                <w:rFonts w:ascii="Times New Roman" w:hAnsi="Times New Roman" w:cs="Times New Roman"/>
                <w:i/>
                <w:sz w:val="18"/>
                <w:szCs w:val="20"/>
              </w:rPr>
              <w:t>dataScramblingIdentityPDSCH</w:t>
            </w:r>
            <w:r>
              <w:rPr>
                <w:rFonts w:ascii="Times New Roman" w:hAnsi="Times New Roman" w:cs="Times New Roman"/>
                <w:sz w:val="18"/>
                <w:szCs w:val="20"/>
              </w:rPr>
              <w:t xml:space="preserve"> if it is configured in </w:t>
            </w:r>
            <w:r>
              <w:rPr>
                <w:rFonts w:ascii="Times New Roman" w:hAnsi="Times New Roman" w:cs="Times New Roman"/>
                <w:i/>
                <w:iCs/>
                <w:sz w:val="18"/>
                <w:szCs w:val="20"/>
              </w:rPr>
              <w:t>PDSCH-Config</w:t>
            </w:r>
            <w:r>
              <w:rPr>
                <w:rFonts w:ascii="Times New Roman" w:hAnsi="Times New Roman" w:cs="Times New Roman"/>
                <w:sz w:val="18"/>
                <w:szCs w:val="20"/>
              </w:rPr>
              <w:t xml:space="preserve"> in a CFR used for GC-PDSCH and the RNTI equals the G-RNTI or G-CS-RNTI;</w:t>
            </w:r>
            <w:r>
              <w:rPr>
                <w:rFonts w:ascii="Times New Roman" w:hAnsi="Times New Roman" w:cs="Times New Roman"/>
                <w:i/>
                <w:sz w:val="18"/>
                <w:szCs w:val="20"/>
              </w:rPr>
              <w:t xml:space="preserve"> </w:t>
            </w:r>
            <m:oMath>
              <m:sSub>
                <m:sSubPr>
                  <m:ctrlPr>
                    <w:rPr>
                      <w:rFonts w:ascii="Cambria Math" w:hAnsi="Cambria Math" w:cs="Times New Roman"/>
                      <w:i/>
                      <w:sz w:val="18"/>
                      <w:szCs w:val="20"/>
                    </w:rPr>
                  </m:ctrlPr>
                </m:sSub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ID</m:t>
                  </m:r>
                  <m:ctrlPr>
                    <w:rPr>
                      <w:rFonts w:ascii="Cambria Math" w:hAnsi="Cambria Math" w:cs="Times New Roman"/>
                      <w:i/>
                      <w:sz w:val="18"/>
                      <w:szCs w:val="20"/>
                    </w:rPr>
                  </m:ctrlPr>
                </m:sub>
              </m:sSub>
              <m:r>
                <w:rPr>
                  <w:rFonts w:ascii="Cambria Math" w:hAnsi="Cambria Math" w:cs="Times New Roman"/>
                  <w:sz w:val="18"/>
                  <w:szCs w:val="20"/>
                </w:rPr>
                <m:t>=</m:t>
              </m:r>
              <m:sSubSup>
                <m:sSubSupPr>
                  <m:ctrlPr>
                    <w:rPr>
                      <w:rFonts w:ascii="Cambria Math" w:hAnsi="Cambria Math" w:cs="Times New Roman"/>
                      <w:i/>
                      <w:sz w:val="18"/>
                      <w:szCs w:val="20"/>
                    </w:rPr>
                  </m:ctrlPr>
                </m:sSubSup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ID</m:t>
                  </m:r>
                  <m:ctrlPr>
                    <w:rPr>
                      <w:rFonts w:ascii="Cambria Math" w:hAnsi="Cambria Math" w:cs="Times New Roman"/>
                      <w:i/>
                      <w:sz w:val="18"/>
                      <w:szCs w:val="20"/>
                    </w:rPr>
                  </m:ctrlPr>
                </m:sub>
                <m:sup>
                  <m:r>
                    <m:rPr>
                      <m:nor/>
                      <m:sty m:val="p"/>
                    </m:rPr>
                    <w:rPr>
                      <w:rFonts w:ascii="Cambria Math" w:hAnsi="Cambria Math" w:cs="Times New Roman"/>
                      <w:sz w:val="18"/>
                      <w:szCs w:val="20"/>
                    </w:rPr>
                    <m:t>cell</m:t>
                  </m:r>
                  <m:ctrlPr>
                    <w:rPr>
                      <w:rFonts w:ascii="Cambria Math" w:hAnsi="Cambria Math" w:cs="Times New Roman"/>
                      <w:i/>
                      <w:sz w:val="18"/>
                      <w:szCs w:val="20"/>
                    </w:rPr>
                  </m:ctrlPr>
                </m:sup>
              </m:sSubSup>
            </m:oMath>
            <w:r>
              <w:rPr>
                <w:rFonts w:ascii="Times New Roman" w:hAnsi="Times New Roman" w:cs="Times New Roman"/>
                <w:sz w:val="18"/>
                <w:szCs w:val="20"/>
              </w:rPr>
              <w:t xml:space="preserve"> otherwise.</w:t>
            </w:r>
          </w:p>
          <w:p>
            <w:pPr>
              <w:pStyle w:val="114"/>
              <w:numPr>
                <w:ilvl w:val="0"/>
                <w:numId w:val="19"/>
              </w:numPr>
              <w:spacing w:before="0" w:after="0" w:line="240" w:lineRule="auto"/>
              <w:rPr>
                <w:rFonts w:ascii="Times New Roman" w:hAnsi="Times New Roman" w:cs="Times New Roman"/>
                <w:sz w:val="18"/>
                <w:szCs w:val="20"/>
              </w:rPr>
            </w:pPr>
            <m:oMath>
              <m:sSub>
                <m:sSubPr>
                  <m:ctrlPr>
                    <w:rPr>
                      <w:rFonts w:ascii="Cambria Math" w:hAnsi="Cambria Math" w:cs="Times New Roman"/>
                      <w:i/>
                      <w:sz w:val="18"/>
                      <w:szCs w:val="20"/>
                    </w:rPr>
                  </m:ctrlPr>
                </m:sSubPr>
                <m:e>
                  <m:r>
                    <w:rPr>
                      <w:rFonts w:ascii="Cambria Math" w:hAnsi="Cambria Math" w:cs="Times New Roman"/>
                      <w:sz w:val="18"/>
                      <w:szCs w:val="20"/>
                    </w:rPr>
                    <m:t>n</m:t>
                  </m:r>
                  <m:ctrlPr>
                    <w:rPr>
                      <w:rFonts w:ascii="Cambria Math" w:hAnsi="Cambria Math" w:cs="Times New Roman"/>
                      <w:i/>
                      <w:sz w:val="18"/>
                      <w:szCs w:val="20"/>
                    </w:rPr>
                  </m:ctrlPr>
                </m:e>
                <m:sub>
                  <m:r>
                    <m:rPr>
                      <m:nor/>
                      <m:sty m:val="p"/>
                    </m:rPr>
                    <w:rPr>
                      <w:rFonts w:ascii="Cambria Math" w:hAnsi="Cambria Math" w:cs="Times New Roman"/>
                      <w:sz w:val="18"/>
                      <w:szCs w:val="20"/>
                    </w:rPr>
                    <m:t>RNTI</m:t>
                  </m:r>
                  <m:ctrlPr>
                    <w:rPr>
                      <w:rFonts w:ascii="Cambria Math" w:hAnsi="Cambria Math" w:cs="Times New Roman"/>
                      <w:i/>
                      <w:sz w:val="18"/>
                      <w:szCs w:val="20"/>
                    </w:rPr>
                  </m:ctrlPr>
                </m:sub>
              </m:sSub>
            </m:oMath>
            <w:r>
              <w:rPr>
                <w:rFonts w:ascii="Times New Roman" w:hAnsi="Times New Roman" w:cs="Times New Roman"/>
                <w:sz w:val="18"/>
                <w:szCs w:val="20"/>
              </w:rPr>
              <w:t xml:space="preserve"> corresponds to the RNTI associated with the GC-PDSCH transmission (i.e., the G-RNTI used by the scheduling GC-PDCCH, or the G-CS-RNTI used by the SPS GC-PDSCH activation PDCCH)</w:t>
            </w:r>
          </w:p>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For initializing sequence generator for DMRS of GC-PDCCH with the second DCI format received in Type-x CSS, </w:t>
            </w:r>
          </w:p>
          <w:p>
            <w:pPr>
              <w:numPr>
                <w:ilvl w:val="0"/>
                <w:numId w:val="19"/>
              </w:numPr>
              <w:spacing w:before="0" w:line="240" w:lineRule="auto"/>
              <w:jc w:val="left"/>
              <w:rPr>
                <w:rFonts w:ascii="Times New Roman" w:hAnsi="Times New Roman" w:cs="Times New Roman"/>
                <w:sz w:val="18"/>
                <w:szCs w:val="20"/>
              </w:rPr>
            </w:pPr>
            <m:oMath>
              <m:sSub>
                <m:sSubPr>
                  <m:ctrlPr>
                    <w:rPr>
                      <w:rFonts w:ascii="Cambria Math" w:hAnsi="Cambria Math" w:cs="Times New Roman"/>
                      <w:i/>
                      <w:iCs/>
                      <w:sz w:val="18"/>
                      <w:szCs w:val="20"/>
                    </w:rPr>
                  </m:ctrlPr>
                </m:sSubPr>
                <m:e>
                  <m:r>
                    <w:rPr>
                      <w:rFonts w:ascii="Cambria Math" w:hAnsi="Cambria Math" w:cs="Times New Roman"/>
                      <w:sz w:val="18"/>
                      <w:szCs w:val="20"/>
                    </w:rPr>
                    <m:t>N</m:t>
                  </m:r>
                  <m:ctrlPr>
                    <w:rPr>
                      <w:rFonts w:ascii="Cambria Math" w:hAnsi="Cambria Math" w:cs="Times New Roman"/>
                      <w:i/>
                      <w:iCs/>
                      <w:sz w:val="18"/>
                      <w:szCs w:val="20"/>
                    </w:rPr>
                  </m:ctrlPr>
                </m:e>
                <m:sub>
                  <m:r>
                    <m:rPr>
                      <m:nor/>
                      <m:sty m:val="p"/>
                    </m:rPr>
                    <w:rPr>
                      <w:rFonts w:ascii="Cambria Math" w:hAnsi="Cambria Math" w:cs="Times New Roman"/>
                      <w:sz w:val="18"/>
                      <w:szCs w:val="20"/>
                    </w:rPr>
                    <m:t>ID</m:t>
                  </m:r>
                  <m:ctrlPr>
                    <w:rPr>
                      <w:rFonts w:ascii="Cambria Math" w:hAnsi="Cambria Math" w:cs="Times New Roman"/>
                      <w:i/>
                      <w:iCs/>
                      <w:sz w:val="18"/>
                      <w:szCs w:val="20"/>
                    </w:rPr>
                  </m:ctrlPr>
                </m:sub>
              </m:sSub>
            </m:oMath>
            <w:r>
              <w:rPr>
                <w:rFonts w:ascii="Times New Roman" w:hAnsi="Times New Roman" w:cs="Times New Roman"/>
                <w:sz w:val="18"/>
                <w:szCs w:val="20"/>
              </w:rPr>
              <w:t xml:space="preserve"> equals the higher layer parameter </w:t>
            </w:r>
            <w:r>
              <w:rPr>
                <w:rFonts w:ascii="Times New Roman" w:hAnsi="Times New Roman" w:cs="Times New Roman"/>
                <w:i/>
                <w:iCs/>
                <w:color w:val="000000"/>
                <w:sz w:val="18"/>
                <w:szCs w:val="20"/>
              </w:rPr>
              <w:t>pdcch-DMRS-ScramblingID</w:t>
            </w:r>
            <w:r>
              <w:rPr>
                <w:rFonts w:ascii="Times New Roman" w:hAnsi="Times New Roman" w:cs="Times New Roman"/>
                <w:sz w:val="18"/>
                <w:szCs w:val="20"/>
              </w:rPr>
              <w:t xml:space="preserve"> if it is configured in the CORESET in a CFR used for the GC-PDCCH; </w:t>
            </w:r>
            <m:oMath>
              <m:sSub>
                <m:sSubPr>
                  <m:ctrlPr>
                    <w:rPr>
                      <w:rFonts w:ascii="Cambria Math" w:hAnsi="Cambria Math" w:cs="Times New Roman"/>
                      <w:i/>
                      <w:iCs/>
                      <w:sz w:val="18"/>
                      <w:szCs w:val="20"/>
                    </w:rPr>
                  </m:ctrlPr>
                </m:sSubPr>
                <m:e>
                  <m:r>
                    <w:rPr>
                      <w:rFonts w:ascii="Cambria Math" w:hAnsi="Cambria Math" w:cs="Times New Roman"/>
                      <w:sz w:val="18"/>
                      <w:szCs w:val="20"/>
                    </w:rPr>
                    <m:t>N</m:t>
                  </m:r>
                  <m:ctrlPr>
                    <w:rPr>
                      <w:rFonts w:ascii="Cambria Math" w:hAnsi="Cambria Math" w:cs="Times New Roman"/>
                      <w:i/>
                      <w:iCs/>
                      <w:sz w:val="18"/>
                      <w:szCs w:val="20"/>
                    </w:rPr>
                  </m:ctrlPr>
                </m:e>
                <m:sub>
                  <m:r>
                    <m:rPr>
                      <m:nor/>
                      <m:sty m:val="p"/>
                    </m:rPr>
                    <w:rPr>
                      <w:rFonts w:ascii="Cambria Math" w:hAnsi="Cambria Math" w:cs="Times New Roman"/>
                      <w:sz w:val="18"/>
                      <w:szCs w:val="20"/>
                    </w:rPr>
                    <m:t>ID</m:t>
                  </m:r>
                  <m:ctrlPr>
                    <w:rPr>
                      <w:rFonts w:ascii="Cambria Math" w:hAnsi="Cambria Math" w:cs="Times New Roman"/>
                      <w:i/>
                      <w:iCs/>
                      <w:sz w:val="18"/>
                      <w:szCs w:val="20"/>
                    </w:rPr>
                  </m:ctrlPr>
                </m:sub>
              </m:sSub>
              <m:r>
                <w:rPr>
                  <w:rFonts w:ascii="Cambria Math" w:hAnsi="Cambria Math" w:cs="Times New Roman"/>
                  <w:sz w:val="18"/>
                  <w:szCs w:val="20"/>
                </w:rPr>
                <m:t>=</m:t>
              </m:r>
              <m:sSubSup>
                <m:sSubSupPr>
                  <m:ctrlPr>
                    <w:rPr>
                      <w:rFonts w:ascii="Cambria Math" w:hAnsi="Cambria Math" w:cs="Times New Roman"/>
                      <w:i/>
                      <w:iCs/>
                      <w:sz w:val="18"/>
                      <w:szCs w:val="20"/>
                    </w:rPr>
                  </m:ctrlPr>
                </m:sSubSupPr>
                <m:e>
                  <m:r>
                    <w:rPr>
                      <w:rFonts w:ascii="Cambria Math" w:hAnsi="Cambria Math" w:cs="Times New Roman"/>
                      <w:sz w:val="18"/>
                      <w:szCs w:val="20"/>
                    </w:rPr>
                    <m:t>N</m:t>
                  </m:r>
                  <m:ctrlPr>
                    <w:rPr>
                      <w:rFonts w:ascii="Cambria Math" w:hAnsi="Cambria Math" w:cs="Times New Roman"/>
                      <w:i/>
                      <w:iCs/>
                      <w:sz w:val="18"/>
                      <w:szCs w:val="20"/>
                    </w:rPr>
                  </m:ctrlPr>
                </m:e>
                <m:sub>
                  <m:r>
                    <m:rPr>
                      <m:nor/>
                      <m:sty m:val="p"/>
                    </m:rPr>
                    <w:rPr>
                      <w:rFonts w:ascii="Cambria Math" w:hAnsi="Cambria Math" w:cs="Times New Roman"/>
                      <w:sz w:val="18"/>
                      <w:szCs w:val="20"/>
                    </w:rPr>
                    <m:t>ID</m:t>
                  </m:r>
                  <m:ctrlPr>
                    <w:rPr>
                      <w:rFonts w:ascii="Cambria Math" w:hAnsi="Cambria Math" w:cs="Times New Roman"/>
                      <w:i/>
                      <w:iCs/>
                      <w:sz w:val="18"/>
                      <w:szCs w:val="20"/>
                    </w:rPr>
                  </m:ctrlPr>
                </m:sub>
                <m:sup>
                  <m:r>
                    <m:rPr>
                      <m:nor/>
                      <m:sty m:val="p"/>
                    </m:rPr>
                    <w:rPr>
                      <w:rFonts w:ascii="Cambria Math" w:hAnsi="Cambria Math" w:cs="Times New Roman"/>
                      <w:sz w:val="18"/>
                      <w:szCs w:val="20"/>
                    </w:rPr>
                    <m:t>cell</m:t>
                  </m:r>
                  <m:ctrlPr>
                    <w:rPr>
                      <w:rFonts w:ascii="Cambria Math" w:hAnsi="Cambria Math" w:cs="Times New Roman"/>
                      <w:i/>
                      <w:iCs/>
                      <w:sz w:val="18"/>
                      <w:szCs w:val="20"/>
                    </w:rPr>
                  </m:ctrlPr>
                </m:sup>
              </m:sSubSup>
            </m:oMath>
            <w:r>
              <w:rPr>
                <w:rFonts w:ascii="Times New Roman" w:hAnsi="Times New Roman" w:cs="Times New Roman"/>
                <w:sz w:val="18"/>
                <w:szCs w:val="20"/>
              </w:rPr>
              <w:t xml:space="preserve"> otherwise. </w:t>
            </w:r>
          </w:p>
          <w:p>
            <w:pPr>
              <w:tabs>
                <w:tab w:val="left" w:pos="1190"/>
              </w:tabs>
              <w:autoSpaceDE w:val="0"/>
              <w:autoSpaceDN w:val="0"/>
              <w:adjustRightInd w:val="0"/>
              <w:spacing w:before="0" w:line="240" w:lineRule="auto"/>
              <w:rPr>
                <w:rFonts w:ascii="Times New Roman" w:hAnsi="Times New Roman" w:cs="Times New Roman"/>
                <w:color w:val="000000"/>
                <w:sz w:val="18"/>
                <w:szCs w:val="20"/>
              </w:rPr>
            </w:pPr>
            <w:r>
              <w:rPr>
                <w:rFonts w:ascii="Times New Roman" w:hAnsi="Times New Roman" w:cs="Times New Roman"/>
                <w:color w:val="000000"/>
                <w:sz w:val="18"/>
                <w:szCs w:val="20"/>
              </w:rPr>
              <w:t xml:space="preserve">Conclusion: </w:t>
            </w:r>
          </w:p>
          <w:p>
            <w:pPr>
              <w:tabs>
                <w:tab w:val="left" w:pos="1190"/>
              </w:tabs>
              <w:autoSpaceDE w:val="0"/>
              <w:autoSpaceDN w:val="0"/>
              <w:adjustRightInd w:val="0"/>
              <w:spacing w:before="0" w:line="240" w:lineRule="auto"/>
              <w:rPr>
                <w:rFonts w:ascii="Times New Roman" w:hAnsi="Times New Roman" w:cs="Times New Roman"/>
                <w:color w:val="000000"/>
                <w:sz w:val="18"/>
                <w:szCs w:val="20"/>
              </w:rPr>
            </w:pPr>
            <w:r>
              <w:rPr>
                <w:rFonts w:ascii="Times New Roman" w:hAnsi="Times New Roman" w:cs="Times New Roman"/>
                <w:color w:val="000000"/>
                <w:sz w:val="18"/>
                <w:szCs w:val="20"/>
              </w:rPr>
              <w:t>The following aspects can be considered to be within the scope of the Rel-17 MBS WID and can be further discussed in the WGs with the aim of minimizing specification impacts:</w:t>
            </w:r>
          </w:p>
          <w:p>
            <w:pPr>
              <w:numPr>
                <w:ilvl w:val="0"/>
                <w:numId w:val="22"/>
              </w:numPr>
              <w:tabs>
                <w:tab w:val="left" w:pos="1190"/>
              </w:tabs>
              <w:autoSpaceDE w:val="0"/>
              <w:autoSpaceDN w:val="0"/>
              <w:adjustRightInd w:val="0"/>
              <w:spacing w:before="0" w:line="240" w:lineRule="auto"/>
              <w:rPr>
                <w:rFonts w:ascii="Times New Roman" w:hAnsi="Times New Roman" w:cs="Times New Roman"/>
                <w:color w:val="000000"/>
                <w:sz w:val="18"/>
                <w:szCs w:val="20"/>
              </w:rPr>
            </w:pPr>
            <w:r>
              <w:rPr>
                <w:rFonts w:ascii="Times New Roman" w:hAnsi="Times New Roman" w:cs="Times New Roman"/>
                <w:color w:val="000000"/>
                <w:sz w:val="18"/>
                <w:szCs w:val="20"/>
              </w:rPr>
              <w:t>Configurable scrambling sequence initialization for PDCCH/PDSCH and DMRS sequence generator initialization for PDCCH/PDSCH for broadcast transmission (as supported for RRC_CONNECTED UE).</w:t>
            </w:r>
          </w:p>
          <w:p>
            <w:pPr>
              <w:numPr>
                <w:ilvl w:val="0"/>
                <w:numId w:val="22"/>
              </w:numPr>
              <w:tabs>
                <w:tab w:val="left" w:pos="1190"/>
              </w:tabs>
              <w:autoSpaceDE w:val="0"/>
              <w:autoSpaceDN w:val="0"/>
              <w:adjustRightInd w:val="0"/>
              <w:spacing w:before="0" w:line="240" w:lineRule="auto"/>
              <w:rPr>
                <w:rFonts w:ascii="Times New Roman" w:hAnsi="Times New Roman" w:cs="Times New Roman"/>
                <w:color w:val="000000"/>
                <w:sz w:val="18"/>
                <w:szCs w:val="20"/>
              </w:rPr>
            </w:pPr>
            <w:r>
              <w:rPr>
                <w:rFonts w:ascii="Times New Roman" w:hAnsi="Times New Roman" w:cs="Times New Roman"/>
                <w:color w:val="000000"/>
                <w:sz w:val="18"/>
                <w:szCs w:val="20"/>
              </w:rPr>
              <w:t>Configuring TRS as QCL sources for broadcast transmission (as supported for RRC_CONNECTED UE).</w:t>
            </w:r>
          </w:p>
          <w:p>
            <w:pPr>
              <w:tabs>
                <w:tab w:val="left" w:pos="1190"/>
              </w:tabs>
              <w:autoSpaceDE w:val="0"/>
              <w:autoSpaceDN w:val="0"/>
              <w:adjustRightInd w:val="0"/>
              <w:spacing w:before="0" w:line="240" w:lineRule="auto"/>
              <w:rPr>
                <w:rFonts w:ascii="Times New Roman" w:hAnsi="Times New Roman" w:cs="Times New Roman"/>
                <w:color w:val="000000"/>
                <w:sz w:val="18"/>
                <w:szCs w:val="20"/>
              </w:rPr>
            </w:pPr>
            <w:r>
              <w:rPr>
                <w:rFonts w:ascii="Times New Roman" w:hAnsi="Times New Roman" w:cs="Times New Roman"/>
                <w:color w:val="000000"/>
                <w:sz w:val="18"/>
                <w:szCs w:val="20"/>
              </w:rPr>
              <w:t xml:space="preserve">Note: For broadcast transmission, the presence of TRS would be optional from a network perspective. </w:t>
            </w:r>
          </w:p>
          <w:p>
            <w:pPr>
              <w:tabs>
                <w:tab w:val="left" w:pos="1190"/>
              </w:tabs>
              <w:spacing w:before="0" w:line="240" w:lineRule="auto"/>
              <w:rPr>
                <w:rFonts w:ascii="Times New Roman" w:hAnsi="Times New Roman" w:cs="Times New Roman"/>
                <w:sz w:val="18"/>
                <w:szCs w:val="20"/>
              </w:rPr>
            </w:pPr>
            <w:r>
              <w:rPr>
                <w:rFonts w:ascii="Times New Roman" w:hAnsi="Times New Roman" w:cs="Times New Roman"/>
                <w:color w:val="000000"/>
                <w:sz w:val="18"/>
                <w:szCs w:val="20"/>
              </w:rPr>
              <w:t>Note: Any SFN operation is transparent to the UE</w:t>
            </w:r>
          </w:p>
        </w:tc>
      </w:tr>
    </w:tbl>
    <w:p>
      <w:pPr>
        <w:tabs>
          <w:tab w:val="left" w:pos="2160"/>
        </w:tabs>
        <w:spacing w:after="180"/>
        <w:rPr>
          <w:rFonts w:ascii="Times New Roman" w:hAnsi="Times New Roman" w:cs="Times New Roman"/>
          <w:bCs/>
          <w:sz w:val="20"/>
          <w:szCs w:val="20"/>
        </w:rPr>
      </w:pPr>
    </w:p>
    <w:p>
      <w:pPr>
        <w:tabs>
          <w:tab w:val="left" w:pos="2160"/>
        </w:tabs>
        <w:spacing w:after="180"/>
        <w:rPr>
          <w:rFonts w:ascii="Times New Roman" w:hAnsi="Times New Roman" w:cs="Times New Roman"/>
          <w:bCs/>
          <w:sz w:val="20"/>
          <w:szCs w:val="20"/>
        </w:rPr>
      </w:pPr>
      <w:r>
        <w:rPr>
          <w:rFonts w:ascii="Times New Roman" w:hAnsi="Times New Roman" w:cs="Times New Roman"/>
          <w:bCs/>
          <w:sz w:val="20"/>
          <w:szCs w:val="20"/>
        </w:rPr>
        <w:t xml:space="preserve">The remaining issues are how to initialize the scrambling sequence and DMRS sequence for GC-PDCCH/PDSCH corresponding with the first DCI format and values for </w:t>
      </w:r>
      <m:oMath>
        <m:sSub>
          <m:sSubPr>
            <m:ctrlPr>
              <w:rPr>
                <w:rFonts w:ascii="Cambria Math" w:hAnsi="Cambria Math" w:cs="Times New Roman"/>
                <w:bCs/>
                <w:i/>
                <w:sz w:val="20"/>
                <w:szCs w:val="20"/>
              </w:rPr>
            </m:ctrlPr>
          </m:sSubPr>
          <m:e>
            <m:r>
              <w:rPr>
                <w:rFonts w:ascii="Cambria Math" w:hAnsi="Cambria Math" w:cs="Times New Roman"/>
                <w:sz w:val="20"/>
                <w:szCs w:val="20"/>
              </w:rPr>
              <m:t>n</m:t>
            </m:r>
            <m:ctrlPr>
              <w:rPr>
                <w:rFonts w:ascii="Cambria Math" w:hAnsi="Cambria Math" w:cs="Times New Roman"/>
                <w:bCs/>
                <w:i/>
                <w:sz w:val="20"/>
                <w:szCs w:val="20"/>
              </w:rPr>
            </m:ctrlPr>
          </m:e>
          <m:sub>
            <m:r>
              <m:rPr>
                <m:nor/>
                <m:sty m:val="p"/>
              </m:rPr>
              <w:rPr>
                <w:rFonts w:ascii="Cambria Math" w:hAnsi="Cambria Math" w:cs="Times New Roman"/>
                <w:bCs/>
                <w:sz w:val="20"/>
                <w:szCs w:val="20"/>
              </w:rPr>
              <m:t>RNTI</m:t>
            </m:r>
            <m:ctrlPr>
              <w:rPr>
                <w:rFonts w:ascii="Cambria Math" w:hAnsi="Cambria Math" w:cs="Times New Roman"/>
                <w:bCs/>
                <w:i/>
                <w:sz w:val="20"/>
                <w:szCs w:val="20"/>
              </w:rPr>
            </m:ctrlPr>
          </m:sub>
        </m:sSub>
      </m:oMath>
      <w:r>
        <w:rPr>
          <w:rFonts w:ascii="Times New Roman" w:hAnsi="Times New Roman" w:cs="Times New Roman"/>
          <w:bCs/>
          <w:sz w:val="20"/>
          <w:szCs w:val="20"/>
        </w:rPr>
        <w:t xml:space="preserve"> for initializing scrambling sequence generator for GC-PDCCH.</w:t>
      </w:r>
    </w:p>
    <w:p>
      <w:pPr>
        <w:tabs>
          <w:tab w:val="left" w:pos="2160"/>
        </w:tabs>
        <w:spacing w:after="180"/>
        <w:rPr>
          <w:rFonts w:ascii="Times New Roman" w:hAnsi="Times New Roman" w:cs="Times New Roman"/>
          <w:b/>
          <w:bCs/>
          <w:sz w:val="20"/>
          <w:szCs w:val="20"/>
          <w:u w:val="single"/>
          <w:lang w:val="en-GB"/>
        </w:rPr>
      </w:pPr>
      <w:r>
        <w:rPr>
          <w:rFonts w:ascii="Times New Roman" w:hAnsi="Times New Roman" w:cs="Times New Roman"/>
          <w:b/>
          <w:bCs/>
          <w:sz w:val="20"/>
          <w:szCs w:val="20"/>
          <w:u w:val="single"/>
        </w:rPr>
        <w:t xml:space="preserve">Values for </w:t>
      </w:r>
      <m:oMath>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n</m:t>
            </m:r>
            <m:ctrlPr>
              <w:rPr>
                <w:rFonts w:ascii="Cambria Math" w:hAnsi="Cambria Math" w:cs="Times New Roman"/>
                <w:b/>
                <w:bCs/>
                <w:i/>
                <w:sz w:val="20"/>
                <w:szCs w:val="20"/>
                <w:u w:val="single"/>
              </w:rPr>
            </m:ctrlPr>
          </m:e>
          <m:sub>
            <m:r>
              <m:rPr>
                <m:nor/>
                <m:sty m:val="b"/>
              </m:rPr>
              <w:rPr>
                <w:rFonts w:ascii="Cambria Math" w:hAnsi="Cambria Math" w:cs="Times New Roman"/>
                <w:b/>
                <w:bCs/>
                <w:sz w:val="20"/>
                <w:szCs w:val="20"/>
                <w:u w:val="single"/>
              </w:rPr>
              <m:t>RNTI</m:t>
            </m:r>
            <m:ctrlPr>
              <w:rPr>
                <w:rFonts w:ascii="Cambria Math" w:hAnsi="Cambria Math" w:cs="Times New Roman"/>
                <w:b/>
                <w:bCs/>
                <w:i/>
                <w:sz w:val="20"/>
                <w:szCs w:val="20"/>
                <w:u w:val="single"/>
              </w:rPr>
            </m:ctrlPr>
          </m:sub>
        </m:sSub>
      </m:oMath>
      <w:r>
        <w:rPr>
          <w:rFonts w:hint="eastAsia" w:ascii="Cambria Math" w:hAnsi="Cambria Math" w:cs="Times New Roman"/>
          <w:b/>
          <w:bCs/>
          <w:sz w:val="20"/>
          <w:szCs w:val="20"/>
          <w:u w:val="single"/>
        </w:rPr>
        <w:t xml:space="preserve"> f</w:t>
      </w:r>
      <w:r>
        <w:rPr>
          <w:rFonts w:ascii="Times New Roman" w:hAnsi="Times New Roman" w:cs="Times New Roman"/>
          <w:b/>
          <w:bCs/>
          <w:sz w:val="20"/>
          <w:szCs w:val="20"/>
          <w:u w:val="single"/>
        </w:rPr>
        <w:t>or initializing scrambling sequence for GC-PDCCH</w:t>
      </w:r>
    </w:p>
    <w:p>
      <w:pPr>
        <w:tabs>
          <w:tab w:val="left" w:pos="2160"/>
        </w:tabs>
        <w:spacing w:after="180"/>
        <w:rPr>
          <w:rFonts w:ascii="Times New Roman" w:hAnsi="Times New Roman" w:cs="Times New Roman"/>
          <w:bCs/>
          <w:sz w:val="20"/>
          <w:szCs w:val="20"/>
        </w:rPr>
      </w:pPr>
      <w:r>
        <w:rPr>
          <w:rFonts w:ascii="Times New Roman" w:hAnsi="Times New Roman" w:cs="Times New Roman"/>
          <w:bCs/>
          <w:sz w:val="20"/>
          <w:szCs w:val="20"/>
        </w:rPr>
        <w:t xml:space="preserve">Currently, ‘0’ </w:t>
      </w:r>
      <w:r>
        <w:rPr>
          <w:rFonts w:hint="eastAsia" w:ascii="Times New Roman" w:hAnsi="Times New Roman" w:cs="Times New Roman"/>
          <w:bCs/>
          <w:sz w:val="20"/>
          <w:szCs w:val="20"/>
        </w:rPr>
        <w:t>is</w:t>
      </w:r>
      <w:r>
        <w:rPr>
          <w:rFonts w:ascii="Times New Roman" w:hAnsi="Times New Roman" w:cs="Times New Roman"/>
          <w:bCs/>
          <w:sz w:val="20"/>
          <w:szCs w:val="20"/>
        </w:rPr>
        <w:t xml:space="preserve"> used as the value of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m:rPr>
                <m:nor/>
                <m:sty m:val="p"/>
              </m:rPr>
              <w:rPr>
                <w:rFonts w:ascii="Cambria Math" w:hAnsi="Cambria Math" w:cs="Times New Roman"/>
                <w:sz w:val="20"/>
                <w:szCs w:val="20"/>
              </w:rPr>
              <m:t>RNTI</m:t>
            </m:r>
            <m:ctrlPr>
              <w:rPr>
                <w:rFonts w:ascii="Cambria Math" w:hAnsi="Cambria Math" w:cs="Times New Roman"/>
                <w:i/>
                <w:sz w:val="20"/>
                <w:szCs w:val="20"/>
              </w:rPr>
            </m:ctrlPr>
          </m:sub>
        </m:sSub>
      </m:oMath>
      <w:r>
        <w:rPr>
          <w:rFonts w:ascii="Times New Roman" w:hAnsi="Times New Roman" w:cs="Times New Roman"/>
          <w:sz w:val="20"/>
          <w:szCs w:val="20"/>
        </w:rPr>
        <w:t xml:space="preserve"> for initializing scrambling sequence generator for PDCCH in CSS</w:t>
      </w:r>
      <w:r>
        <w:rPr>
          <w:rFonts w:ascii="Times New Roman" w:hAnsi="Times New Roman" w:cs="Times New Roman"/>
          <w:bCs/>
          <w:sz w:val="20"/>
          <w:szCs w:val="20"/>
        </w:rPr>
        <w:t xml:space="preserve">. It is reasonable to reuse 0 for value of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m:rPr>
                <m:nor/>
                <m:sty m:val="p"/>
              </m:rPr>
              <w:rPr>
                <w:rFonts w:ascii="Cambria Math" w:hAnsi="Cambria Math" w:cs="Times New Roman"/>
                <w:sz w:val="20"/>
                <w:szCs w:val="20"/>
              </w:rPr>
              <m:t>RNTI</m:t>
            </m:r>
            <m:ctrlPr>
              <w:rPr>
                <w:rFonts w:ascii="Cambria Math" w:hAnsi="Cambria Math" w:cs="Times New Roman"/>
                <w:i/>
                <w:sz w:val="20"/>
                <w:szCs w:val="20"/>
              </w:rPr>
            </m:ctrlPr>
          </m:sub>
        </m:sSub>
      </m:oMath>
      <w:r>
        <w:rPr>
          <w:rFonts w:ascii="Times New Roman" w:hAnsi="Times New Roman" w:cs="Times New Roman"/>
          <w:sz w:val="20"/>
          <w:szCs w:val="20"/>
        </w:rPr>
        <w:t xml:space="preserve"> for</w:t>
      </w:r>
      <w:r>
        <w:rPr>
          <w:rFonts w:hint="eastAsia" w:ascii="Times New Roman" w:hAnsi="Times New Roman" w:cs="Times New Roman"/>
          <w:sz w:val="20"/>
          <w:szCs w:val="20"/>
        </w:rPr>
        <w:t xml:space="preserve"> GC-PDCCH as it is always monitored in Type-x CSS. Furthermore, if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m:rPr>
                <m:nor/>
                <m:sty m:val="p"/>
              </m:rPr>
              <w:rPr>
                <w:rFonts w:ascii="Cambria Math" w:hAnsi="Cambria Math" w:cs="Times New Roman"/>
                <w:sz w:val="20"/>
                <w:szCs w:val="20"/>
              </w:rPr>
              <m:t>RNTI</m:t>
            </m:r>
            <m:ctrlPr>
              <w:rPr>
                <w:rFonts w:ascii="Cambria Math" w:hAnsi="Cambria Math" w:cs="Times New Roman"/>
                <w:i/>
                <w:sz w:val="20"/>
                <w:szCs w:val="20"/>
              </w:rPr>
            </m:ctrlPr>
          </m:sub>
        </m:sSub>
      </m:oMath>
      <w:r>
        <w:rPr>
          <w:rFonts w:hint="eastAsia" w:ascii="Times New Roman" w:hAnsi="Times New Roman" w:cs="Times New Roman"/>
          <w:sz w:val="20"/>
          <w:szCs w:val="20"/>
        </w:rPr>
        <w:t xml:space="preserve"> is defined as G-RNTI, higher complexity will bring to the UE because it needs to try different G-RNTIs for GC-PDCCH descrambling.</w:t>
      </w:r>
    </w:p>
    <w:p>
      <w:pPr>
        <w:tabs>
          <w:tab w:val="left" w:pos="2160"/>
        </w:tabs>
        <w:spacing w:after="180"/>
        <w:rPr>
          <w:rFonts w:ascii="Times New Roman" w:hAnsi="Times New Roman" w:cs="Times New Roman"/>
          <w:bCs/>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14</w:t>
      </w:r>
      <w:r>
        <w:rPr>
          <w:rFonts w:ascii="Times New Roman" w:hAnsi="Times New Roman" w:cs="Times New Roman"/>
          <w:bCs/>
          <w:i/>
          <w:sz w:val="20"/>
          <w:szCs w:val="20"/>
          <w:lang w:val="en-GB"/>
        </w:rPr>
        <w:t xml:space="preserve">: </w:t>
      </w:r>
      <w:r>
        <w:rPr>
          <w:rFonts w:hint="eastAsia" w:ascii="Times New Roman" w:hAnsi="Times New Roman" w:cs="Times New Roman"/>
          <w:bCs/>
          <w:i/>
          <w:sz w:val="20"/>
          <w:szCs w:val="20"/>
        </w:rPr>
        <w:t xml:space="preserve">Use </w:t>
      </w:r>
      <w:r>
        <w:rPr>
          <w:rFonts w:ascii="Times New Roman" w:hAnsi="Times New Roman" w:cs="Times New Roman"/>
          <w:bCs/>
          <w:i/>
          <w:sz w:val="20"/>
          <w:szCs w:val="20"/>
        </w:rPr>
        <w:t>‘</w:t>
      </w:r>
      <w:r>
        <w:rPr>
          <w:rFonts w:hint="eastAsia" w:ascii="Times New Roman" w:hAnsi="Times New Roman" w:cs="Times New Roman"/>
          <w:bCs/>
          <w:i/>
          <w:sz w:val="20"/>
          <w:szCs w:val="20"/>
        </w:rPr>
        <w:t>0</w:t>
      </w:r>
      <w:r>
        <w:rPr>
          <w:rFonts w:ascii="Times New Roman" w:hAnsi="Times New Roman" w:cs="Times New Roman"/>
          <w:bCs/>
          <w:i/>
          <w:sz w:val="20"/>
          <w:szCs w:val="20"/>
        </w:rPr>
        <w:t>’</w:t>
      </w:r>
      <w:r>
        <w:rPr>
          <w:rFonts w:hint="eastAsia" w:ascii="Times New Roman" w:hAnsi="Times New Roman" w:cs="Times New Roman"/>
          <w:bCs/>
          <w:i/>
          <w:sz w:val="20"/>
          <w:szCs w:val="20"/>
        </w:rPr>
        <w:t xml:space="preserve"> as the </w:t>
      </w:r>
      <w:r>
        <w:rPr>
          <w:rFonts w:ascii="Times New Roman" w:hAnsi="Times New Roman" w:cs="Times New Roman"/>
          <w:bCs/>
          <w:i/>
          <w:sz w:val="20"/>
          <w:szCs w:val="20"/>
        </w:rPr>
        <w:t xml:space="preserve">value of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m:rPr>
                <m:nor/>
              </m:rPr>
              <w:rPr>
                <w:rFonts w:ascii="Cambria Math" w:hAnsi="Cambria Math" w:cs="Times New Roman"/>
                <w:i/>
                <w:sz w:val="20"/>
                <w:szCs w:val="20"/>
              </w:rPr>
              <m:t>RNTI</m:t>
            </m:r>
            <m:ctrlPr>
              <w:rPr>
                <w:rFonts w:ascii="Cambria Math" w:hAnsi="Cambria Math" w:cs="Times New Roman"/>
                <w:i/>
                <w:sz w:val="20"/>
                <w:szCs w:val="20"/>
              </w:rPr>
            </m:ctrlPr>
          </m:sub>
        </m:sSub>
      </m:oMath>
      <w:r>
        <w:rPr>
          <w:rFonts w:hint="eastAsia" w:ascii="Cambria Math" w:hAnsi="Cambria Math" w:cs="Times New Roman"/>
          <w:i/>
          <w:sz w:val="20"/>
          <w:szCs w:val="20"/>
        </w:rPr>
        <w:t xml:space="preserve"> f</w:t>
      </w:r>
      <w:r>
        <w:rPr>
          <w:rFonts w:ascii="Times New Roman" w:hAnsi="Times New Roman" w:cs="Times New Roman"/>
          <w:i/>
          <w:sz w:val="20"/>
          <w:szCs w:val="20"/>
        </w:rPr>
        <w:t>or initializing scrambling sequence generator for GC-PDCCH with the second DCI format</w:t>
      </w:r>
      <w:r>
        <w:rPr>
          <w:rFonts w:hint="eastAsia" w:ascii="Times New Roman" w:hAnsi="Times New Roman" w:cs="Times New Roman"/>
          <w:i/>
          <w:sz w:val="20"/>
          <w:szCs w:val="20"/>
        </w:rPr>
        <w:t>.</w:t>
      </w:r>
    </w:p>
    <w:p>
      <w:pPr>
        <w:tabs>
          <w:tab w:val="left" w:pos="2160"/>
        </w:tabs>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Initialization of scrambling sequence and DMRS sequence for GC-PDCCH/PDSCH corresponding with the first DCI format</w:t>
      </w:r>
    </w:p>
    <w:p>
      <w:pPr>
        <w:tabs>
          <w:tab w:val="left" w:pos="2160"/>
        </w:tabs>
        <w:spacing w:after="180"/>
        <w:rPr>
          <w:rFonts w:ascii="Times New Roman" w:hAnsi="Times New Roman" w:cs="Times New Roman"/>
          <w:bCs/>
          <w:sz w:val="20"/>
          <w:szCs w:val="20"/>
        </w:rPr>
      </w:pPr>
      <w:r>
        <w:rPr>
          <w:rFonts w:hint="eastAsia" w:ascii="Times New Roman" w:hAnsi="Times New Roman" w:cs="Times New Roman"/>
          <w:bCs/>
          <w:sz w:val="20"/>
          <w:szCs w:val="20"/>
        </w:rPr>
        <w:t>It is important for supporting confi</w:t>
      </w:r>
      <w:r>
        <w:rPr>
          <w:rFonts w:ascii="Times New Roman" w:hAnsi="Times New Roman" w:cs="Times New Roman"/>
          <w:bCs/>
          <w:sz w:val="20"/>
          <w:szCs w:val="20"/>
        </w:rPr>
        <w:t xml:space="preserve">gurable </w:t>
      </w:r>
      <w:r>
        <w:rPr>
          <w:rFonts w:hint="eastAsia" w:ascii="Times New Roman" w:hAnsi="Times New Roman" w:cs="Times New Roman"/>
          <w:bCs/>
          <w:sz w:val="20"/>
          <w:szCs w:val="20"/>
        </w:rPr>
        <w:t xml:space="preserve">scrambling sequence and DMRS sequence for SFN-based </w:t>
      </w:r>
      <w:r>
        <w:rPr>
          <w:rFonts w:ascii="Times New Roman" w:hAnsi="Times New Roman" w:cs="Times New Roman"/>
          <w:bCs/>
          <w:sz w:val="20"/>
          <w:szCs w:val="20"/>
        </w:rPr>
        <w:t>GC-</w:t>
      </w:r>
      <w:r>
        <w:rPr>
          <w:rFonts w:hint="eastAsia" w:ascii="Times New Roman" w:hAnsi="Times New Roman" w:cs="Times New Roman"/>
          <w:bCs/>
          <w:sz w:val="20"/>
          <w:szCs w:val="20"/>
        </w:rPr>
        <w:t>PDCCH/PDSCH</w:t>
      </w:r>
      <w:r>
        <w:rPr>
          <w:rFonts w:ascii="Times New Roman" w:hAnsi="Times New Roman" w:cs="Times New Roman"/>
          <w:bCs/>
          <w:sz w:val="20"/>
          <w:szCs w:val="20"/>
        </w:rPr>
        <w:t xml:space="preserve"> transmission. For the first DCI format</w:t>
      </w:r>
      <w:r>
        <w:rPr>
          <w:rFonts w:hint="eastAsia" w:ascii="Times New Roman" w:hAnsi="Times New Roman" w:cs="Times New Roman"/>
          <w:bCs/>
          <w:sz w:val="20"/>
          <w:szCs w:val="20"/>
        </w:rPr>
        <w:t xml:space="preserve"> and GC-PDSCH scheduled by the first DCI format</w:t>
      </w:r>
      <w:r>
        <w:rPr>
          <w:rFonts w:ascii="Times New Roman" w:hAnsi="Times New Roman" w:cs="Times New Roman"/>
          <w:bCs/>
          <w:sz w:val="20"/>
          <w:szCs w:val="20"/>
        </w:rPr>
        <w:t xml:space="preserve">, </w:t>
      </w:r>
      <w:r>
        <w:rPr>
          <w:rFonts w:hint="eastAsia" w:ascii="Times New Roman" w:hAnsi="Times New Roman" w:cs="Times New Roman"/>
          <w:bCs/>
          <w:sz w:val="20"/>
          <w:szCs w:val="20"/>
        </w:rPr>
        <w:t>some companies concern that if t</w:t>
      </w:r>
      <w:r>
        <w:rPr>
          <w:rFonts w:ascii="Times New Roman" w:hAnsi="Times New Roman" w:cs="Times New Roman"/>
          <w:bCs/>
          <w:sz w:val="20"/>
          <w:szCs w:val="20"/>
        </w:rPr>
        <w:t xml:space="preserve">he high layer parameter is configured by RRC signaling, i.e., which is available only for </w:t>
      </w:r>
      <w:r>
        <w:rPr>
          <w:rFonts w:hint="eastAsia" w:ascii="Times New Roman" w:hAnsi="Times New Roman" w:cs="Times New Roman"/>
          <w:bCs/>
          <w:sz w:val="20"/>
          <w:szCs w:val="20"/>
        </w:rPr>
        <w:t xml:space="preserve">RRC_CONNECTED </w:t>
      </w:r>
      <w:r>
        <w:rPr>
          <w:rFonts w:ascii="Times New Roman" w:hAnsi="Times New Roman" w:cs="Times New Roman"/>
          <w:bCs/>
          <w:sz w:val="20"/>
          <w:szCs w:val="20"/>
        </w:rPr>
        <w:t>UE. The configuration will result inconsistent understanding among RRC_IDLE UEs and RRC_CONNECTED UEs receiving a same GC-PDCCH/PDSCH.</w:t>
      </w:r>
      <w:r>
        <w:rPr>
          <w:rFonts w:hint="eastAsia" w:ascii="Times New Roman" w:hAnsi="Times New Roman" w:cs="Times New Roman"/>
          <w:bCs/>
          <w:sz w:val="20"/>
          <w:szCs w:val="20"/>
        </w:rPr>
        <w:t xml:space="preserve"> One way to eliminate this concern is to configure related parameters through </w:t>
      </w:r>
      <w:r>
        <w:rPr>
          <w:rFonts w:ascii="Times New Roman" w:hAnsi="Times New Roman" w:cs="Times New Roman"/>
          <w:bCs/>
          <w:sz w:val="20"/>
          <w:szCs w:val="20"/>
        </w:rPr>
        <w:t>SIB</w:t>
      </w:r>
      <w:r>
        <w:rPr>
          <w:rFonts w:hint="eastAsia" w:ascii="Times New Roman" w:hAnsi="Times New Roman" w:cs="Times New Roman"/>
          <w:bCs/>
          <w:sz w:val="20"/>
          <w:szCs w:val="20"/>
        </w:rPr>
        <w:t xml:space="preserve">. Then, UEs in different RRC states can have a common understanding. </w:t>
      </w:r>
    </w:p>
    <w:p>
      <w:pPr>
        <w:tabs>
          <w:tab w:val="left" w:pos="2160"/>
        </w:tabs>
        <w:spacing w:after="180"/>
        <w:rPr>
          <w:rFonts w:ascii="Times New Roman" w:hAnsi="Times New Roman" w:cs="Times New Roman"/>
          <w:bCs/>
          <w:sz w:val="20"/>
          <w:szCs w:val="20"/>
        </w:rPr>
      </w:pPr>
      <w:r>
        <w:rPr>
          <w:rFonts w:hint="eastAsia" w:ascii="Times New Roman" w:hAnsi="Times New Roman" w:cs="Times New Roman"/>
          <w:bCs/>
          <w:sz w:val="20"/>
          <w:szCs w:val="20"/>
        </w:rPr>
        <w:t xml:space="preserve">More specifically, we have the following proposal: </w:t>
      </w:r>
    </w:p>
    <w:p>
      <w:pPr>
        <w:tabs>
          <w:tab w:val="left" w:pos="2160"/>
        </w:tabs>
        <w:spacing w:after="180"/>
        <w:rPr>
          <w:rFonts w:ascii="Times New Roman" w:hAnsi="Times New Roman" w:cs="Times New Roman"/>
          <w:bCs/>
          <w:i/>
          <w:sz w:val="20"/>
          <w:szCs w:val="20"/>
          <w:lang w:val="en-GB"/>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15</w:t>
      </w:r>
      <w:r>
        <w:rPr>
          <w:rFonts w:ascii="Times New Roman" w:hAnsi="Times New Roman" w:cs="Times New Roman"/>
          <w:bCs/>
          <w:i/>
          <w:sz w:val="20"/>
          <w:szCs w:val="20"/>
          <w:lang w:val="en-GB"/>
        </w:rPr>
        <w:t xml:space="preserve">: </w:t>
      </w:r>
    </w:p>
    <w:p>
      <w:pPr>
        <w:spacing w:after="180"/>
        <w:rPr>
          <w:rFonts w:ascii="Times New Roman" w:hAnsi="Times New Roman" w:cs="Times New Roman"/>
          <w:i/>
          <w:iCs/>
          <w:sz w:val="20"/>
          <w:szCs w:val="20"/>
        </w:rPr>
      </w:pPr>
      <w:r>
        <w:rPr>
          <w:rFonts w:ascii="Times New Roman" w:hAnsi="Times New Roman" w:cs="Times New Roman"/>
          <w:i/>
          <w:iCs/>
          <w:sz w:val="20"/>
          <w:szCs w:val="20"/>
        </w:rPr>
        <w:t xml:space="preserve">For initializing scrambling sequence generator for GC-PDCCH with the first DCI format, </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equals the higher layer parameter pdcch-DMRS-ScramblingID if it is configured in </w:t>
      </w:r>
      <w:r>
        <w:rPr>
          <w:rFonts w:ascii="Times New Roman" w:hAnsi="Times New Roman" w:cs="Times New Roman"/>
          <w:i/>
          <w:iCs/>
          <w:sz w:val="20"/>
          <w:szCs w:val="20"/>
          <w:lang w:val="en-US"/>
        </w:rPr>
        <w:t>SIB</w:t>
      </w:r>
      <w:r>
        <w:rPr>
          <w:rFonts w:ascii="Times New Roman" w:hAnsi="Times New Roman" w:cs="Times New Roman"/>
          <w:i/>
          <w:iCs/>
          <w:sz w:val="20"/>
          <w:szCs w:val="20"/>
        </w:rPr>
        <w:t xml:space="preserve"> used for the GC-PDCCH;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m:rPr>
                <m:nor/>
              </m:rPr>
              <w:rPr>
                <w:rFonts w:ascii="Cambria Math" w:hAnsi="Cambria Math" w:cs="Times New Roman"/>
                <w:i/>
                <w:iCs/>
                <w:sz w:val="20"/>
                <w:szCs w:val="20"/>
              </w:rPr>
              <m:t>cell</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otherwise.</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RNTI</m:t>
            </m:r>
            <m:ctrlPr>
              <w:rPr>
                <w:rFonts w:ascii="Cambria Math" w:hAnsi="Cambria Math" w:cs="Times New Roman"/>
                <w:i/>
                <w:iCs/>
                <w:sz w:val="20"/>
                <w:szCs w:val="20"/>
              </w:rPr>
            </m:ctrlPr>
          </m:sub>
        </m:sSub>
      </m:oMath>
      <w:r>
        <w:rPr>
          <w:rFonts w:ascii="Times New Roman" w:hAnsi="Times New Roman" w:eastAsia="宋体" w:cs="Times New Roman"/>
          <w:i/>
          <w:iCs/>
          <w:sz w:val="20"/>
          <w:szCs w:val="20"/>
          <w:lang w:val="en-US"/>
        </w:rPr>
        <w:t xml:space="preserve"> equals 0</w:t>
      </w:r>
      <w:r>
        <w:rPr>
          <w:rFonts w:ascii="Times New Roman" w:hAnsi="Times New Roman" w:cs="Times New Roman"/>
          <w:i/>
          <w:iCs/>
          <w:sz w:val="20"/>
          <w:szCs w:val="20"/>
        </w:rPr>
        <w:t xml:space="preserve">. </w:t>
      </w:r>
    </w:p>
    <w:p>
      <w:pPr>
        <w:spacing w:after="180"/>
        <w:rPr>
          <w:rFonts w:ascii="Times New Roman" w:hAnsi="Times New Roman" w:cs="Times New Roman"/>
          <w:i/>
          <w:iCs/>
          <w:sz w:val="20"/>
          <w:szCs w:val="20"/>
        </w:rPr>
      </w:pPr>
      <w:r>
        <w:rPr>
          <w:rFonts w:ascii="Times New Roman" w:hAnsi="Times New Roman" w:cs="Times New Roman"/>
          <w:i/>
          <w:iCs/>
          <w:sz w:val="20"/>
          <w:szCs w:val="20"/>
        </w:rPr>
        <w:t xml:space="preserve">For initializing scrambling sequence generator for GC-PDSCH scheduled by the first DCI format for multicast received in Type-x CSS, </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equals the higher layer parameter dataScramblingIdentityPDSCH if it is configured in </w:t>
      </w:r>
      <w:r>
        <w:rPr>
          <w:rFonts w:ascii="Times New Roman" w:hAnsi="Times New Roman" w:cs="Times New Roman"/>
          <w:i/>
          <w:iCs/>
          <w:sz w:val="20"/>
          <w:szCs w:val="20"/>
          <w:lang w:val="en-US"/>
        </w:rPr>
        <w:t>SIB</w:t>
      </w:r>
      <w:r>
        <w:rPr>
          <w:rFonts w:ascii="Times New Roman" w:hAnsi="Times New Roman" w:cs="Times New Roman"/>
          <w:i/>
          <w:iCs/>
          <w:sz w:val="20"/>
          <w:szCs w:val="20"/>
        </w:rPr>
        <w:t xml:space="preserve"> used for GC-PDSCH and the RNTI equals the G-RNTI or G-CS-RNTI;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m:rPr>
                <m:nor/>
              </m:rPr>
              <w:rPr>
                <w:rFonts w:ascii="Cambria Math" w:hAnsi="Cambria Math" w:cs="Times New Roman"/>
                <w:i/>
                <w:iCs/>
                <w:sz w:val="20"/>
                <w:szCs w:val="20"/>
              </w:rPr>
              <m:t>cell</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otherwise.</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RNTI</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corresponds to the RNTI associated with the GC-PDSCH transmission (i.e., the G-RNTI used by the scheduling GC-PDCCH, or the G-CS-RNTI used by the SPS GC-PDSCH activation PDCCH)</w:t>
      </w:r>
    </w:p>
    <w:p>
      <w:pPr>
        <w:spacing w:after="180"/>
        <w:rPr>
          <w:rFonts w:ascii="Times New Roman" w:hAnsi="Times New Roman" w:cs="Times New Roman"/>
          <w:i/>
          <w:iCs/>
          <w:sz w:val="20"/>
          <w:szCs w:val="20"/>
        </w:rPr>
      </w:pPr>
      <w:r>
        <w:rPr>
          <w:rFonts w:ascii="Times New Roman" w:hAnsi="Times New Roman" w:cs="Times New Roman"/>
          <w:i/>
          <w:iCs/>
          <w:sz w:val="20"/>
          <w:szCs w:val="20"/>
        </w:rPr>
        <w:t xml:space="preserve">For initializing sequence generator for DMRS of GC-PDCCH with the first DCI format received in Type-x CSS, </w:t>
      </w:r>
    </w:p>
    <w:p>
      <w:pPr>
        <w:numPr>
          <w:ilvl w:val="0"/>
          <w:numId w:val="19"/>
        </w:numPr>
        <w:spacing w:after="180"/>
        <w:jc w:val="left"/>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equals the higher layer parameter </w:t>
      </w:r>
      <w:r>
        <w:rPr>
          <w:rFonts w:ascii="Times New Roman" w:hAnsi="Times New Roman" w:cs="Times New Roman"/>
          <w:i/>
          <w:iCs/>
          <w:color w:val="000000"/>
          <w:sz w:val="20"/>
          <w:szCs w:val="20"/>
        </w:rPr>
        <w:t>pdcch-DMRS-ScramblingID</w:t>
      </w:r>
      <w:r>
        <w:rPr>
          <w:rFonts w:ascii="Times New Roman" w:hAnsi="Times New Roman" w:cs="Times New Roman"/>
          <w:i/>
          <w:iCs/>
          <w:sz w:val="20"/>
          <w:szCs w:val="20"/>
        </w:rPr>
        <w:t xml:space="preserve"> if it is configured in SIB used for the GC-PDCCH;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m:rPr>
                <m:nor/>
              </m:rPr>
              <w:rPr>
                <w:rFonts w:ascii="Cambria Math" w:hAnsi="Cambria Math" w:cs="Times New Roman"/>
                <w:i/>
                <w:iCs/>
                <w:sz w:val="20"/>
                <w:szCs w:val="20"/>
              </w:rPr>
              <m:t>cell</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otherwise. </w:t>
      </w:r>
    </w:p>
    <w:p>
      <w:pPr>
        <w:spacing w:after="180"/>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For initializing sequence generator for DMRS of GC-PDSCH, </w:t>
      </w:r>
    </w:p>
    <w:p>
      <w:pPr>
        <w:pStyle w:val="160"/>
        <w:numPr>
          <w:ilvl w:val="0"/>
          <w:numId w:val="19"/>
        </w:numPr>
        <w:spacing w:before="0" w:beforeAutospacing="0" w:after="180" w:afterAutospacing="0"/>
        <w:rPr>
          <w:rFonts w:ascii="Times New Roman" w:hAnsi="Times New Roman" w:cs="Times New Roman"/>
          <w:i/>
          <w:iCs/>
          <w:color w:val="000000"/>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w:rPr>
                <w:rFonts w:ascii="Cambria Math" w:hAnsi="Cambria Math" w:cs="Times New Roman"/>
                <w:sz w:val="20"/>
                <w:szCs w:val="20"/>
              </w:rPr>
              <m:t>0</m:t>
            </m:r>
            <m:ctrlPr>
              <w:rPr>
                <w:rFonts w:ascii="Cambria Math" w:hAnsi="Cambria Math" w:cs="Times New Roman"/>
                <w:i/>
                <w:iCs/>
                <w:sz w:val="20"/>
                <w:szCs w:val="20"/>
              </w:rPr>
            </m:ctrlPr>
          </m:sup>
        </m:sSubSup>
        <m:r>
          <w:rPr>
            <w:rFonts w:ascii="Cambria Math" w:hAnsi="Cambria Math" w:cs="Times New Roman"/>
            <w:sz w:val="20"/>
            <w:szCs w:val="20"/>
          </w:rPr>
          <m:t xml:space="preserve"> </m:t>
        </m:r>
      </m:oMath>
      <w:r>
        <w:rPr>
          <w:rFonts w:ascii="Times New Roman" w:hAnsi="Times New Roman" w:cs="Times New Roman"/>
          <w:i/>
          <w:iCs/>
          <w:color w:val="000000"/>
          <w:sz w:val="20"/>
          <w:szCs w:val="20"/>
          <w:lang w:val="en-GB"/>
        </w:rPr>
        <w:t xml:space="preserve">and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w:rPr>
                <w:rFonts w:ascii="Cambria Math" w:hAnsi="Cambria Math" w:cs="Times New Roman"/>
                <w:sz w:val="20"/>
                <w:szCs w:val="20"/>
              </w:rPr>
              <m:t>1</m:t>
            </m:r>
            <m:ctrlPr>
              <w:rPr>
                <w:rFonts w:ascii="Cambria Math" w:hAnsi="Cambria Math" w:cs="Times New Roman"/>
                <w:i/>
                <w:iCs/>
                <w:sz w:val="20"/>
                <w:szCs w:val="20"/>
              </w:rPr>
            </m:ctrlPr>
          </m:sup>
        </m:sSubSup>
        <m:r>
          <w:rPr>
            <w:rFonts w:ascii="Cambria Math" w:hAnsi="Cambria Math" w:cs="Times New Roman"/>
            <w:sz w:val="20"/>
            <w:szCs w:val="20"/>
          </w:rPr>
          <m:t xml:space="preserve"> </m:t>
        </m:r>
      </m:oMath>
      <w:r>
        <w:rPr>
          <w:rFonts w:ascii="Times New Roman" w:hAnsi="Times New Roman" w:cs="Times New Roman"/>
          <w:i/>
          <w:iCs/>
          <w:color w:val="000000"/>
          <w:sz w:val="20"/>
          <w:szCs w:val="20"/>
          <w:lang w:val="en-GB"/>
        </w:rPr>
        <w:t>are given by the higher-layer parameters</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scramblingID0</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and</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scramblingID1, respectively, in the</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DMRS-DownlinkConfig</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IE if provided in PDSCH-Config in a CFR used for GC-PDSCH and the GC-PDSCH is scheduled by GC-PDCCH using the second DCI format</w:t>
      </w:r>
    </w:p>
    <w:p>
      <w:pPr>
        <w:pStyle w:val="160"/>
        <w:numPr>
          <w:ilvl w:val="0"/>
          <w:numId w:val="19"/>
        </w:numPr>
        <w:spacing w:before="0" w:beforeAutospacing="0" w:after="180" w:afterAutospacing="0"/>
        <w:rPr>
          <w:rFonts w:ascii="Times New Roman" w:hAnsi="Times New Roman" w:cs="Times New Roman"/>
          <w:i/>
          <w:iCs/>
          <w:color w:val="000000"/>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w:rPr>
                <w:rFonts w:ascii="Cambria Math" w:hAnsi="Cambria Math" w:cs="Times New Roman"/>
                <w:sz w:val="20"/>
                <w:szCs w:val="20"/>
              </w:rPr>
              <m:t>0</m:t>
            </m:r>
            <m:ctrlPr>
              <w:rPr>
                <w:rFonts w:ascii="Cambria Math" w:hAnsi="Cambria Math" w:cs="Times New Roman"/>
                <w:i/>
                <w:iCs/>
                <w:sz w:val="20"/>
                <w:szCs w:val="20"/>
              </w:rPr>
            </m:ctrlPr>
          </m:sup>
        </m:sSubSup>
      </m:oMath>
      <w:r>
        <w:rPr>
          <w:rFonts w:ascii="Times New Roman" w:hAnsi="Times New Roman" w:eastAsia="宋体" w:cs="Times New Roman"/>
          <w:i/>
          <w:iCs/>
          <w:sz w:val="20"/>
          <w:szCs w:val="20"/>
          <w:lang w:eastAsia="zh-CN"/>
        </w:rPr>
        <w:t xml:space="preserve"> </w:t>
      </w:r>
      <w:r>
        <w:rPr>
          <w:rFonts w:ascii="Times New Roman" w:hAnsi="Times New Roman" w:cs="Times New Roman"/>
          <w:i/>
          <w:iCs/>
          <w:color w:val="000000"/>
          <w:sz w:val="20"/>
          <w:szCs w:val="20"/>
          <w:lang w:val="en-GB"/>
        </w:rPr>
        <w:t>is given by the higher-layer parameter</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scramblingID0</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 xml:space="preserve">if provided in </w:t>
      </w:r>
      <w:r>
        <w:rPr>
          <w:rFonts w:ascii="Times New Roman" w:hAnsi="Times New Roman" w:eastAsia="宋体" w:cs="Times New Roman"/>
          <w:i/>
          <w:iCs/>
          <w:color w:val="000000"/>
          <w:sz w:val="20"/>
          <w:szCs w:val="20"/>
          <w:lang w:eastAsia="zh-CN"/>
        </w:rPr>
        <w:t>SIB</w:t>
      </w:r>
      <w:r>
        <w:rPr>
          <w:rFonts w:ascii="Times New Roman" w:hAnsi="Times New Roman" w:cs="Times New Roman"/>
          <w:i/>
          <w:iCs/>
          <w:color w:val="000000"/>
          <w:sz w:val="20"/>
          <w:szCs w:val="20"/>
          <w:lang w:val="en-GB"/>
        </w:rPr>
        <w:t xml:space="preserve"> used for GC-PDSCH and the GC-PDSCH is scheduled by GC-PDCCH using the first DCI format;</w:t>
      </w:r>
    </w:p>
    <w:p>
      <w:pPr>
        <w:pStyle w:val="160"/>
        <w:numPr>
          <w:ilvl w:val="0"/>
          <w:numId w:val="19"/>
        </w:numPr>
        <w:spacing w:before="0" w:beforeAutospacing="0" w:after="180" w:afterAutospacing="0"/>
        <w:rPr>
          <w:rFonts w:ascii="Times New Roman" w:hAnsi="Times New Roman" w:cs="Times New Roman"/>
          <w:i/>
          <w:iCs/>
          <w:color w:val="000000"/>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ID</m:t>
            </m:r>
            <m:ctrlPr>
              <w:rPr>
                <w:rFonts w:ascii="Cambria Math" w:hAnsi="Cambria Math" w:cs="Times New Roman"/>
                <w:i/>
                <w:iCs/>
                <w:sz w:val="20"/>
                <w:szCs w:val="20"/>
              </w:rPr>
            </m:ctrlPr>
          </m:sub>
          <m:sup>
            <m:sSubSup>
              <m:sSubSupPr>
                <m:ctrlPr>
                  <w:rPr>
                    <w:rFonts w:ascii="Cambria Math" w:hAnsi="Cambria Math" w:cs="Times New Roman"/>
                    <w:i/>
                    <w:iCs/>
                    <w:sz w:val="20"/>
                    <w:szCs w:val="20"/>
                  </w:rPr>
                </m:ctrlPr>
              </m:sSubSupPr>
              <m:e>
                <m:acc>
                  <m:accPr>
                    <m:chr m:val="̅"/>
                    <m:ctrlPr>
                      <w:rPr>
                        <w:rFonts w:ascii="Cambria Math" w:hAnsi="Cambria Math" w:cs="Times New Roman"/>
                        <w:i/>
                        <w:iCs/>
                        <w:sz w:val="20"/>
                        <w:szCs w:val="20"/>
                      </w:rPr>
                    </m:ctrlPr>
                  </m:accPr>
                  <m:e>
                    <m:r>
                      <w:rPr>
                        <w:rFonts w:ascii="Cambria Math" w:hAnsi="Cambria Math" w:cs="Times New Roman"/>
                        <w:sz w:val="20"/>
                        <w:szCs w:val="20"/>
                      </w:rPr>
                      <m:t>n</m:t>
                    </m:r>
                    <m:ctrlPr>
                      <w:rPr>
                        <w:rFonts w:ascii="Cambria Math" w:hAnsi="Cambria Math" w:cs="Times New Roman"/>
                        <w:i/>
                        <w:iCs/>
                        <w:sz w:val="20"/>
                        <w:szCs w:val="20"/>
                      </w:rPr>
                    </m:ctrlPr>
                  </m:e>
                </m:acc>
                <m:ctrlPr>
                  <w:rPr>
                    <w:rFonts w:ascii="Cambria Math" w:hAnsi="Cambria Math" w:cs="Times New Roman"/>
                    <w:i/>
                    <w:iCs/>
                    <w:sz w:val="20"/>
                    <w:szCs w:val="20"/>
                  </w:rPr>
                </m:ctrlPr>
              </m:e>
              <m:sub>
                <m:r>
                  <w:rPr>
                    <w:rFonts w:ascii="Cambria Math" w:hAnsi="Cambria Math" w:cs="Times New Roman"/>
                    <w:sz w:val="20"/>
                    <w:szCs w:val="20"/>
                  </w:rPr>
                  <m:t>SCID</m:t>
                </m:r>
                <m:ctrlPr>
                  <w:rPr>
                    <w:rFonts w:ascii="Cambria Math" w:hAnsi="Cambria Math" w:cs="Times New Roman"/>
                    <w:i/>
                    <w:iCs/>
                    <w:sz w:val="20"/>
                    <w:szCs w:val="20"/>
                  </w:rPr>
                </m:ctrlPr>
              </m:sub>
              <m:sup>
                <m:acc>
                  <m:accPr>
                    <m:chr m:val="̅"/>
                    <m:ctrlPr>
                      <w:rPr>
                        <w:rFonts w:ascii="Cambria Math" w:hAnsi="Cambria Math" w:cs="Times New Roman"/>
                        <w:i/>
                        <w:iCs/>
                        <w:sz w:val="20"/>
                        <w:szCs w:val="20"/>
                      </w:rPr>
                    </m:ctrlPr>
                  </m:accPr>
                  <m:e>
                    <m:r>
                      <w:rPr>
                        <w:rFonts w:ascii="Cambria Math" w:hAnsi="Cambria Math" w:cs="Times New Roman"/>
                        <w:sz w:val="20"/>
                        <w:szCs w:val="20"/>
                      </w:rPr>
                      <m:t>λ</m:t>
                    </m:r>
                    <m:ctrlPr>
                      <w:rPr>
                        <w:rFonts w:ascii="Cambria Math" w:hAnsi="Cambria Math" w:cs="Times New Roman"/>
                        <w:i/>
                        <w:iCs/>
                        <w:sz w:val="20"/>
                        <w:szCs w:val="20"/>
                      </w:rPr>
                    </m:ctrlPr>
                  </m:e>
                </m:acc>
                <m:ctrlPr>
                  <w:rPr>
                    <w:rFonts w:ascii="Cambria Math" w:hAnsi="Cambria Math" w:cs="Times New Roman"/>
                    <w:i/>
                    <w:iCs/>
                    <w:sz w:val="20"/>
                    <w:szCs w:val="20"/>
                  </w:rPr>
                </m:ctrlPr>
              </m:sup>
            </m:sSubSup>
            <m:ctrlPr>
              <w:rPr>
                <w:rFonts w:ascii="Cambria Math" w:hAnsi="Cambria Math" w:cs="Times New Roman"/>
                <w:i/>
                <w:iCs/>
                <w:sz w:val="20"/>
                <w:szCs w:val="20"/>
              </w:rPr>
            </m:ctrlPr>
          </m:sup>
        </m:sSubSup>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ID</m:t>
            </m:r>
            <m:ctrlPr>
              <w:rPr>
                <w:rFonts w:ascii="Cambria Math" w:hAnsi="Cambria Math" w:cs="Times New Roman"/>
                <w:i/>
                <w:iCs/>
                <w:sz w:val="20"/>
                <w:szCs w:val="20"/>
              </w:rPr>
            </m:ctrlPr>
          </m:sub>
          <m:sup>
            <m:r>
              <w:rPr>
                <w:rFonts w:ascii="Cambria Math" w:hAnsi="Cambria Math" w:cs="Times New Roman"/>
                <w:sz w:val="20"/>
                <w:szCs w:val="20"/>
              </w:rPr>
              <m:t>cell</m:t>
            </m:r>
            <m:ctrlPr>
              <w:rPr>
                <w:rFonts w:ascii="Cambria Math" w:hAnsi="Cambria Math" w:cs="Times New Roman"/>
                <w:i/>
                <w:iCs/>
                <w:sz w:val="20"/>
                <w:szCs w:val="20"/>
              </w:rPr>
            </m:ctrlPr>
          </m:sup>
        </m:sSubSup>
        <m:r>
          <w:rPr>
            <w:rFonts w:ascii="Cambria Math" w:hAnsi="Cambria Math" w:cs="Times New Roman"/>
            <w:sz w:val="20"/>
            <w:szCs w:val="20"/>
          </w:rPr>
          <m:t xml:space="preserve"> </m:t>
        </m:r>
      </m:oMath>
      <w:r>
        <w:rPr>
          <w:rFonts w:ascii="Times New Roman" w:hAnsi="Times New Roman" w:cs="Times New Roman"/>
          <w:i/>
          <w:iCs/>
          <w:sz w:val="20"/>
          <w:szCs w:val="20"/>
        </w:rPr>
        <w:t xml:space="preserve"> otherwise</w:t>
      </w:r>
      <w:r>
        <w:rPr>
          <w:rFonts w:ascii="Times New Roman" w:hAnsi="Times New Roman" w:cs="Times New Roman"/>
          <w:i/>
          <w:iCs/>
          <w:color w:val="000000"/>
          <w:sz w:val="20"/>
          <w:szCs w:val="20"/>
          <w:lang w:val="en-GB"/>
        </w:rPr>
        <w:t>;</w:t>
      </w:r>
    </w:p>
    <w:p>
      <w:pPr>
        <w:pStyle w:val="160"/>
        <w:numPr>
          <w:ilvl w:val="0"/>
          <w:numId w:val="19"/>
        </w:numPr>
        <w:spacing w:before="0" w:beforeAutospacing="0" w:after="180" w:afterAutospacing="0"/>
        <w:rPr>
          <w:rFonts w:ascii="Times New Roman" w:hAnsi="Times New Roman" w:cs="Times New Roman"/>
          <w:i/>
          <w:iCs/>
          <w:color w:val="000000"/>
          <w:sz w:val="20"/>
          <w:szCs w:val="20"/>
        </w:rPr>
      </w:pPr>
      <w:r>
        <w:rPr>
          <w:rFonts w:ascii="Times New Roman" w:hAnsi="Times New Roman" w:cs="Times New Roman"/>
          <w:i/>
          <w:iCs/>
          <w:sz w:val="20"/>
          <w:szCs w:val="20"/>
        </w:rPr>
        <w:t xml:space="preserve">FFS: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SCID</m:t>
            </m:r>
            <m:ctrlPr>
              <w:rPr>
                <w:rFonts w:ascii="Cambria Math" w:hAnsi="Cambria Math" w:cs="Times New Roman"/>
                <w:i/>
                <w:iCs/>
                <w:sz w:val="20"/>
                <w:szCs w:val="20"/>
              </w:rPr>
            </m:ctrlP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0, 1</m:t>
            </m:r>
            <m:ctrlPr>
              <w:rPr>
                <w:rFonts w:ascii="Cambria Math" w:hAnsi="Cambria Math" w:cs="Times New Roman"/>
                <w:i/>
                <w:iCs/>
                <w:sz w:val="20"/>
                <w:szCs w:val="20"/>
              </w:rPr>
            </m:ctrlPr>
          </m:e>
        </m:d>
      </m:oMath>
      <w:r>
        <w:rPr>
          <w:rFonts w:ascii="Times New Roman" w:hAnsi="Times New Roman" w:cs="Times New Roman"/>
          <w:i/>
          <w:iCs/>
          <w:sz w:val="20"/>
          <w:szCs w:val="20"/>
        </w:rPr>
        <w:t xml:space="preserve"> is given by the DM-RS sequence initialization field, if present, in the DCI associated with the GC-PDSCH transmission if </w:t>
      </w:r>
      <w:r>
        <w:rPr>
          <w:rFonts w:ascii="Times New Roman" w:hAnsi="Times New Roman" w:cs="Times New Roman"/>
          <w:i/>
          <w:iCs/>
          <w:color w:val="000000"/>
          <w:sz w:val="20"/>
          <w:szCs w:val="20"/>
          <w:lang w:val="en-GB"/>
        </w:rPr>
        <w:t>second DCI format</w:t>
      </w:r>
      <w:r>
        <w:rPr>
          <w:rFonts w:ascii="Times New Roman" w:hAnsi="Times New Roman" w:cs="Times New Roman"/>
          <w:i/>
          <w:iCs/>
          <w:sz w:val="20"/>
          <w:szCs w:val="20"/>
        </w:rPr>
        <w:t xml:space="preserve"> is used, otherwise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SCID</m:t>
            </m:r>
            <m:ctrlPr>
              <w:rPr>
                <w:rFonts w:ascii="Cambria Math" w:hAnsi="Cambria Math" w:cs="Times New Roman"/>
                <w:i/>
                <w:iCs/>
                <w:sz w:val="20"/>
                <w:szCs w:val="20"/>
              </w:rPr>
            </m:ctrlPr>
          </m:sub>
        </m:sSub>
        <m:r>
          <w:rPr>
            <w:rFonts w:ascii="Cambria Math" w:hAnsi="Cambria Math" w:cs="Times New Roman"/>
            <w:sz w:val="20"/>
            <w:szCs w:val="20"/>
          </w:rPr>
          <m:t>=0</m:t>
        </m:r>
      </m:oMath>
      <w:r>
        <w:rPr>
          <w:rFonts w:ascii="Times New Roman" w:hAnsi="Times New Roman" w:cs="Times New Roman"/>
          <w:i/>
          <w:iCs/>
          <w:sz w:val="20"/>
          <w:szCs w:val="20"/>
        </w:rPr>
        <w:t>.</w:t>
      </w:r>
    </w:p>
    <w:p>
      <w:pPr>
        <w:tabs>
          <w:tab w:val="left" w:pos="2160"/>
        </w:tabs>
        <w:spacing w:after="180"/>
        <w:rPr>
          <w:rFonts w:ascii="Times New Roman" w:hAnsi="Times New Roman" w:cs="Times New Roman"/>
          <w:bCs/>
          <w:i/>
          <w:sz w:val="20"/>
          <w:szCs w:val="20"/>
          <w:lang w:val="en-GB"/>
        </w:rPr>
      </w:pPr>
    </w:p>
    <w:p>
      <w:pPr>
        <w:pStyle w:val="2"/>
        <w:rPr>
          <w:lang w:eastAsia="zh-CN"/>
        </w:rPr>
      </w:pPr>
      <w:r>
        <w:rPr>
          <w:rFonts w:hint="eastAsia"/>
          <w:lang w:eastAsia="zh-CN"/>
        </w:rPr>
        <w:t xml:space="preserve">SPS-based MBS </w:t>
      </w:r>
      <w:r>
        <w:rPr>
          <w:lang w:eastAsia="zh-CN"/>
        </w:rPr>
        <w:t>transmission</w:t>
      </w:r>
    </w:p>
    <w:p>
      <w:pPr>
        <w:spacing w:after="180"/>
        <w:rPr>
          <w:rFonts w:ascii="Times New Roman" w:hAnsi="Times New Roman" w:cs="Times New Roman"/>
          <w:sz w:val="20"/>
          <w:szCs w:val="20"/>
        </w:rPr>
      </w:pPr>
      <w:r>
        <w:rPr>
          <w:rFonts w:ascii="Times New Roman" w:hAnsi="Times New Roman" w:cs="Times New Roman"/>
          <w:sz w:val="20"/>
          <w:szCs w:val="20"/>
        </w:rPr>
        <w:t>The following agreements on SPS-based MBS transmission were achieved during previous RAN1 e-meetings. Some remaining issues will be discussed below.</w:t>
      </w:r>
    </w:p>
    <w:tbl>
      <w:tblPr>
        <w:tblStyle w:val="5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spacing w:before="0" w:line="240" w:lineRule="auto"/>
              <w:rPr>
                <w:rFonts w:ascii="Times New Roman" w:hAnsi="Times New Roman" w:cs="Times New Roman"/>
                <w:sz w:val="18"/>
                <w:szCs w:val="20"/>
                <w:highlight w:val="green"/>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The retransmission scheme for a given SPS group-common PDSCH can be either PTM scheme 1 or PTP.</w:t>
            </w:r>
          </w:p>
          <w:p>
            <w:pPr>
              <w:numPr>
                <w:ilvl w:val="0"/>
                <w:numId w:val="23"/>
              </w:numPr>
              <w:spacing w:before="0" w:line="240" w:lineRule="auto"/>
              <w:jc w:val="left"/>
              <w:rPr>
                <w:rFonts w:ascii="Times New Roman" w:hAnsi="Times New Roman" w:cs="Times New Roman"/>
                <w:sz w:val="18"/>
                <w:szCs w:val="20"/>
              </w:rPr>
            </w:pPr>
            <w:r>
              <w:rPr>
                <w:rFonts w:ascii="Times New Roman" w:hAnsi="Times New Roman" w:cs="Times New Roman"/>
                <w:sz w:val="18"/>
                <w:szCs w:val="20"/>
              </w:rPr>
              <w:t>FFS: Whether PTM scheme 1 retransmission and PTP retransmission can be used simultaneously for different UEs in the same MBS group</w:t>
            </w:r>
          </w:p>
          <w:p>
            <w:pPr>
              <w:numPr>
                <w:ilvl w:val="255"/>
                <w:numId w:val="0"/>
              </w:numPr>
              <w:spacing w:before="0" w:line="240" w:lineRule="auto"/>
              <w:rPr>
                <w:rFonts w:ascii="Times New Roman" w:hAnsi="Times New Roman" w:cs="Times New Roman"/>
                <w:sz w:val="18"/>
                <w:szCs w:val="20"/>
                <w:highlight w:val="green"/>
              </w:rPr>
            </w:pPr>
            <w:r>
              <w:rPr>
                <w:rFonts w:ascii="Times New Roman" w:hAnsi="Times New Roman" w:cs="Times New Roman"/>
                <w:sz w:val="18"/>
                <w:szCs w:val="20"/>
                <w:highlight w:val="green"/>
              </w:rPr>
              <w:t>Agreement:</w:t>
            </w:r>
          </w:p>
          <w:p>
            <w:pPr>
              <w:numPr>
                <w:ilvl w:val="255"/>
                <w:numId w:val="0"/>
              </w:num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Confirm the working assumption: </w:t>
            </w:r>
          </w:p>
          <w:p>
            <w:pPr>
              <w:numPr>
                <w:ilvl w:val="255"/>
                <w:numId w:val="0"/>
              </w:numPr>
              <w:spacing w:before="0" w:line="240" w:lineRule="auto"/>
              <w:rPr>
                <w:rFonts w:ascii="Times New Roman" w:hAnsi="Times New Roman" w:cs="Times New Roman"/>
                <w:sz w:val="18"/>
                <w:szCs w:val="20"/>
              </w:rPr>
            </w:pPr>
            <w:r>
              <w:rPr>
                <w:rFonts w:ascii="Times New Roman" w:hAnsi="Times New Roman" w:cs="Times New Roman"/>
                <w:sz w:val="18"/>
                <w:szCs w:val="20"/>
              </w:rPr>
              <w:t>For activation/deactivation of SPS group-common PDSCH for MBS in RRC_CONNECTED state,</w:t>
            </w:r>
          </w:p>
          <w:p>
            <w:pPr>
              <w:numPr>
                <w:ilvl w:val="0"/>
                <w:numId w:val="24"/>
              </w:numPr>
              <w:spacing w:before="0" w:line="240" w:lineRule="auto"/>
              <w:rPr>
                <w:rFonts w:ascii="Times New Roman" w:hAnsi="Times New Roman" w:cs="Times New Roman"/>
                <w:sz w:val="18"/>
                <w:szCs w:val="20"/>
              </w:rPr>
            </w:pPr>
            <w:r>
              <w:rPr>
                <w:rFonts w:ascii="Times New Roman" w:hAnsi="Times New Roman" w:cs="Times New Roman"/>
                <w:sz w:val="18"/>
                <w:szCs w:val="20"/>
              </w:rPr>
              <w:t>At least group-common PDCCH is supported</w:t>
            </w:r>
          </w:p>
          <w:p>
            <w:pPr>
              <w:numPr>
                <w:ilvl w:val="1"/>
                <w:numId w:val="24"/>
              </w:numPr>
              <w:spacing w:before="0" w:line="240" w:lineRule="auto"/>
              <w:rPr>
                <w:rFonts w:ascii="Times New Roman" w:hAnsi="Times New Roman" w:cs="Times New Roman"/>
                <w:sz w:val="18"/>
                <w:szCs w:val="20"/>
              </w:rPr>
            </w:pPr>
            <w:r>
              <w:rPr>
                <w:rFonts w:ascii="Times New Roman" w:hAnsi="Times New Roman" w:cs="Times New Roman"/>
                <w:sz w:val="18"/>
                <w:szCs w:val="20"/>
              </w:rPr>
              <w:t>FFS: Whether and how to address the missed activation and deactivation</w:t>
            </w:r>
          </w:p>
          <w:p>
            <w:pPr>
              <w:numPr>
                <w:ilvl w:val="0"/>
                <w:numId w:val="24"/>
              </w:numPr>
              <w:spacing w:before="0" w:line="240" w:lineRule="auto"/>
              <w:jc w:val="left"/>
              <w:rPr>
                <w:rFonts w:ascii="Times New Roman" w:hAnsi="Times New Roman" w:cs="Times New Roman"/>
                <w:sz w:val="18"/>
                <w:szCs w:val="20"/>
              </w:rPr>
            </w:pPr>
            <w:r>
              <w:rPr>
                <w:rFonts w:ascii="Times New Roman" w:hAnsi="Times New Roman" w:cs="Times New Roman"/>
                <w:sz w:val="18"/>
                <w:szCs w:val="20"/>
              </w:rPr>
              <w:t xml:space="preserve">FFS: Whether </w:t>
            </w:r>
            <w:bookmarkStart w:id="24" w:name="OLE_LINK14"/>
            <w:r>
              <w:rPr>
                <w:rFonts w:ascii="Times New Roman" w:hAnsi="Times New Roman" w:cs="Times New Roman"/>
                <w:sz w:val="18"/>
                <w:szCs w:val="20"/>
              </w:rPr>
              <w:t>UE-specific PDCCH is supported for activation/deactivation</w:t>
            </w:r>
            <w:bookmarkEnd w:id="24"/>
          </w:p>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For</w:t>
            </w:r>
            <w:bookmarkStart w:id="25" w:name="OLE_LINK31"/>
            <w:r>
              <w:rPr>
                <w:rFonts w:ascii="Times New Roman" w:hAnsi="Times New Roman" w:cs="Times New Roman"/>
                <w:sz w:val="18"/>
                <w:szCs w:val="20"/>
              </w:rPr>
              <w:t xml:space="preserve"> reliability of the group-common PDCCH activation of SPS group-common PDSCH</w:t>
            </w:r>
            <w:bookmarkEnd w:id="25"/>
            <w:r>
              <w:rPr>
                <w:rFonts w:ascii="Times New Roman" w:hAnsi="Times New Roman" w:cs="Times New Roman"/>
                <w:sz w:val="18"/>
                <w:szCs w:val="20"/>
              </w:rPr>
              <w:t>, support at least one of the following alternatives.</w:t>
            </w:r>
          </w:p>
          <w:p>
            <w:pPr>
              <w:numPr>
                <w:ilvl w:val="0"/>
                <w:numId w:val="24"/>
              </w:numPr>
              <w:spacing w:before="0" w:line="240" w:lineRule="auto"/>
              <w:rPr>
                <w:rFonts w:ascii="Times New Roman" w:hAnsi="Times New Roman" w:cs="Times New Roman"/>
                <w:sz w:val="18"/>
                <w:szCs w:val="20"/>
              </w:rPr>
            </w:pPr>
            <w:r>
              <w:rPr>
                <w:rFonts w:ascii="Times New Roman" w:hAnsi="Times New Roman" w:cs="Times New Roman"/>
                <w:sz w:val="18"/>
                <w:szCs w:val="20"/>
              </w:rPr>
              <w:t xml:space="preserve">Alt 1: </w:t>
            </w:r>
            <w:bookmarkStart w:id="26" w:name="OLE_LINK29"/>
            <w:r>
              <w:rPr>
                <w:rFonts w:ascii="Times New Roman" w:hAnsi="Times New Roman" w:cs="Times New Roman"/>
                <w:sz w:val="18"/>
                <w:szCs w:val="20"/>
              </w:rPr>
              <w:t>retransmit the activation command via group-common PDCCH</w:t>
            </w:r>
            <w:bookmarkEnd w:id="26"/>
            <w:r>
              <w:rPr>
                <w:rFonts w:ascii="Times New Roman" w:hAnsi="Times New Roman" w:cs="Times New Roman"/>
                <w:sz w:val="18"/>
                <w:szCs w:val="20"/>
              </w:rPr>
              <w:t>.</w:t>
            </w:r>
          </w:p>
          <w:p>
            <w:pPr>
              <w:numPr>
                <w:ilvl w:val="0"/>
                <w:numId w:val="24"/>
              </w:numPr>
              <w:spacing w:before="0" w:line="240" w:lineRule="auto"/>
              <w:rPr>
                <w:rFonts w:ascii="Times New Roman" w:hAnsi="Times New Roman" w:cs="Times New Roman"/>
                <w:sz w:val="18"/>
                <w:szCs w:val="20"/>
              </w:rPr>
            </w:pPr>
            <w:r>
              <w:rPr>
                <w:rFonts w:ascii="Times New Roman" w:hAnsi="Times New Roman" w:cs="Times New Roman"/>
                <w:sz w:val="18"/>
                <w:szCs w:val="20"/>
              </w:rPr>
              <w:t>Alt 2: retransmit the activation command via UE-specific PDCCH.</w:t>
            </w:r>
          </w:p>
          <w:p>
            <w:pPr>
              <w:numPr>
                <w:ilvl w:val="0"/>
                <w:numId w:val="24"/>
              </w:numPr>
              <w:spacing w:before="0" w:line="240" w:lineRule="auto"/>
              <w:rPr>
                <w:rFonts w:ascii="Times New Roman" w:hAnsi="Times New Roman" w:cs="Times New Roman"/>
                <w:sz w:val="18"/>
                <w:szCs w:val="20"/>
              </w:rPr>
            </w:pPr>
            <w:r>
              <w:rPr>
                <w:rFonts w:ascii="Times New Roman" w:hAnsi="Times New Roman" w:cs="Times New Roman"/>
                <w:sz w:val="18"/>
                <w:szCs w:val="20"/>
              </w:rPr>
              <w:t>Alt 3: retransmit the activation command via MAC-CE.</w:t>
            </w:r>
          </w:p>
          <w:p>
            <w:pPr>
              <w:numPr>
                <w:ilvl w:val="0"/>
                <w:numId w:val="24"/>
              </w:numPr>
              <w:spacing w:before="0" w:line="240" w:lineRule="auto"/>
              <w:rPr>
                <w:rFonts w:ascii="Times New Roman" w:hAnsi="Times New Roman" w:cs="Times New Roman"/>
                <w:sz w:val="18"/>
                <w:szCs w:val="20"/>
              </w:rPr>
            </w:pPr>
            <w:r>
              <w:rPr>
                <w:rFonts w:ascii="Times New Roman" w:hAnsi="Times New Roman" w:cs="Times New Roman"/>
                <w:sz w:val="18"/>
                <w:szCs w:val="20"/>
              </w:rPr>
              <w:t>FFS other details.</w:t>
            </w:r>
          </w:p>
          <w:p>
            <w:pPr>
              <w:numPr>
                <w:ilvl w:val="0"/>
                <w:numId w:val="24"/>
              </w:numPr>
              <w:spacing w:before="0" w:line="240" w:lineRule="auto"/>
              <w:rPr>
                <w:rFonts w:ascii="Times New Roman" w:hAnsi="Times New Roman" w:cs="Times New Roman"/>
                <w:sz w:val="18"/>
                <w:szCs w:val="20"/>
              </w:rPr>
            </w:pPr>
            <w:r>
              <w:rPr>
                <w:rFonts w:ascii="Times New Roman" w:hAnsi="Times New Roman" w:cs="Times New Roman"/>
                <w:sz w:val="18"/>
                <w:szCs w:val="20"/>
              </w:rPr>
              <w:t>Note: Down-selection can take into account the HARQ-ACK feedback scheme for SPS activation</w:t>
            </w:r>
          </w:p>
          <w:p>
            <w:pPr>
              <w:spacing w:before="0" w:line="240" w:lineRule="auto"/>
              <w:rPr>
                <w:rFonts w:ascii="Times New Roman" w:hAnsi="Times New Roman" w:cs="Times New Roman"/>
                <w:sz w:val="18"/>
                <w:szCs w:val="20"/>
              </w:rPr>
            </w:pPr>
            <w:r>
              <w:rPr>
                <w:rFonts w:ascii="Times New Roman" w:hAnsi="Times New Roman" w:cs="Times New Roman"/>
                <w:sz w:val="18"/>
                <w:szCs w:val="20"/>
                <w:highlight w:val="green"/>
              </w:rPr>
              <w:t>Agreement:</w:t>
            </w:r>
          </w:p>
          <w:p>
            <w:pPr>
              <w:spacing w:before="0" w:line="240" w:lineRule="auto"/>
              <w:rPr>
                <w:rFonts w:ascii="Times New Roman" w:hAnsi="Times New Roman" w:cs="Times New Roman"/>
                <w:sz w:val="18"/>
                <w:szCs w:val="20"/>
              </w:rPr>
            </w:pPr>
            <w:r>
              <w:rPr>
                <w:rFonts w:ascii="Times New Roman" w:hAnsi="Times New Roman" w:cs="Times New Roman"/>
                <w:sz w:val="18"/>
                <w:szCs w:val="20"/>
              </w:rPr>
              <w:t>If a SPS-config for MBS is configured in CFR, one G-CS-RNTI is associated with the SPS-config.</w:t>
            </w:r>
          </w:p>
          <w:p>
            <w:pPr>
              <w:numPr>
                <w:ilvl w:val="0"/>
                <w:numId w:val="25"/>
              </w:numPr>
              <w:spacing w:before="0" w:line="240" w:lineRule="auto"/>
              <w:jc w:val="left"/>
              <w:rPr>
                <w:rFonts w:ascii="Times New Roman" w:hAnsi="Times New Roman" w:cs="Times New Roman"/>
                <w:sz w:val="18"/>
                <w:szCs w:val="20"/>
              </w:rPr>
            </w:pPr>
            <w:r>
              <w:rPr>
                <w:rFonts w:ascii="Times New Roman" w:hAnsi="Times New Roman" w:cs="Times New Roman"/>
                <w:sz w:val="18"/>
                <w:szCs w:val="20"/>
              </w:rPr>
              <w:t>FFS: Multiple G-CS-RNTIs associated with one SPS-config</w:t>
            </w:r>
          </w:p>
          <w:p>
            <w:pPr>
              <w:numPr>
                <w:ilvl w:val="255"/>
                <w:numId w:val="0"/>
              </w:numPr>
              <w:spacing w:before="0" w:line="240" w:lineRule="auto"/>
              <w:jc w:val="left"/>
              <w:rPr>
                <w:rFonts w:ascii="Times New Roman" w:hAnsi="Times New Roman" w:cs="Times New Roman"/>
                <w:sz w:val="18"/>
                <w:szCs w:val="20"/>
              </w:rPr>
            </w:pPr>
          </w:p>
        </w:tc>
      </w:tr>
    </w:tbl>
    <w:p>
      <w:pPr>
        <w:spacing w:after="180"/>
        <w:rPr>
          <w:rFonts w:ascii="Times New Roman" w:hAnsi="Times New Roman" w:cs="Times New Roman"/>
          <w:b/>
          <w:bCs/>
          <w:sz w:val="20"/>
          <w:szCs w:val="20"/>
          <w:u w:val="single"/>
        </w:rPr>
      </w:pPr>
    </w:p>
    <w:p>
      <w:pPr>
        <w:tabs>
          <w:tab w:val="left" w:pos="2160"/>
        </w:tabs>
        <w:spacing w:after="180"/>
        <w:rPr>
          <w:rFonts w:ascii="Times New Roman" w:hAnsi="Times New Roman" w:cs="Times New Roman"/>
          <w:b/>
          <w:bCs/>
          <w:i/>
          <w:sz w:val="20"/>
          <w:szCs w:val="20"/>
          <w:u w:val="single"/>
        </w:rPr>
      </w:pPr>
      <w:r>
        <w:rPr>
          <w:rFonts w:ascii="Times New Roman" w:hAnsi="Times New Roman" w:cs="Times New Roman"/>
          <w:b/>
          <w:bCs/>
          <w:sz w:val="20"/>
          <w:szCs w:val="20"/>
          <w:u w:val="single"/>
        </w:rPr>
        <w:t>Multiple G-CS-RNTIs associated with one SPS-config</w:t>
      </w:r>
    </w:p>
    <w:p>
      <w:pPr>
        <w:spacing w:after="180"/>
        <w:rPr>
          <w:rFonts w:ascii="Times New Roman" w:hAnsi="Times New Roman" w:cs="Times New Roman"/>
          <w:iCs/>
          <w:sz w:val="20"/>
          <w:szCs w:val="20"/>
        </w:rPr>
      </w:pPr>
      <w:r>
        <w:rPr>
          <w:rFonts w:ascii="Times New Roman" w:hAnsi="Times New Roman" w:cs="Times New Roman"/>
          <w:iCs/>
          <w:sz w:val="20"/>
          <w:szCs w:val="20"/>
        </w:rPr>
        <w:t xml:space="preserve">According to previous agreement, the </w:t>
      </w:r>
      <w:r>
        <w:rPr>
          <w:rFonts w:hint="eastAsia" w:ascii="Times New Roman" w:hAnsi="Times New Roman" w:cs="Times New Roman"/>
          <w:iCs/>
          <w:sz w:val="20"/>
          <w:szCs w:val="20"/>
        </w:rPr>
        <w:t xml:space="preserve">maximum </w:t>
      </w:r>
      <w:r>
        <w:rPr>
          <w:rFonts w:ascii="Times New Roman" w:hAnsi="Times New Roman" w:cs="Times New Roman"/>
          <w:iCs/>
          <w:sz w:val="20"/>
          <w:szCs w:val="20"/>
        </w:rPr>
        <w:t xml:space="preserve">number of SPS configurations, i.e., </w:t>
      </w:r>
      <w:r>
        <w:rPr>
          <w:rFonts w:hint="eastAsia" w:ascii="Times New Roman" w:hAnsi="Times New Roman" w:cs="Times New Roman"/>
          <w:iCs/>
          <w:sz w:val="20"/>
          <w:szCs w:val="20"/>
        </w:rPr>
        <w:t>8</w:t>
      </w:r>
      <w:r>
        <w:rPr>
          <w:rFonts w:ascii="Times New Roman" w:hAnsi="Times New Roman" w:cs="Times New Roman"/>
          <w:iCs/>
          <w:sz w:val="20"/>
          <w:szCs w:val="20"/>
        </w:rPr>
        <w:t xml:space="preserve">, supported by a UE currently defined for unicast is not increased due to additionally supporting MBS. </w:t>
      </w:r>
      <w:r>
        <w:rPr>
          <w:rFonts w:hint="eastAsia" w:ascii="Times New Roman" w:hAnsi="Times New Roman" w:cs="Times New Roman"/>
          <w:iCs/>
          <w:sz w:val="20"/>
          <w:szCs w:val="20"/>
        </w:rPr>
        <w:t xml:space="preserve">For unicast, multiple SPS configurations are required to reduce the service transmission delay. Then, these configurations are insufficient for sharing among unicast and multicast, especially when one SPS configuration corresponds to only one multicast service. So multiple G-CS-RNTI associated with one SPS-config should be supported for relieving the configuration shortage. </w:t>
      </w:r>
    </w:p>
    <w:p>
      <w:pPr>
        <w:spacing w:after="180"/>
        <w:rPr>
          <w:rFonts w:ascii="Times New Roman" w:hAnsi="Times New Roman" w:cs="Times New Roman"/>
          <w:iCs/>
          <w:sz w:val="20"/>
          <w:szCs w:val="20"/>
        </w:rPr>
      </w:pPr>
      <w:r>
        <w:rPr>
          <w:rFonts w:hint="eastAsia" w:ascii="Times New Roman" w:hAnsi="Times New Roman" w:cs="Times New Roman"/>
          <w:iCs/>
          <w:sz w:val="20"/>
          <w:szCs w:val="20"/>
        </w:rPr>
        <w:t xml:space="preserve">Each MBS service associated with the SPS-config can be activated separately using activation PDCCH with corresponding G-CS-RNTI. Alternatively, more than one MBS services can be activated simultaneously. And </w:t>
      </w:r>
      <w:r>
        <w:rPr>
          <w:rFonts w:ascii="Times New Roman" w:hAnsi="Times New Roman" w:cs="Times New Roman"/>
          <w:iCs/>
          <w:sz w:val="20"/>
          <w:szCs w:val="20"/>
        </w:rPr>
        <w:t>different</w:t>
      </w:r>
      <w:r>
        <w:rPr>
          <w:rFonts w:hint="eastAsia" w:ascii="Times New Roman" w:hAnsi="Times New Roman" w:cs="Times New Roman"/>
          <w:iCs/>
          <w:sz w:val="20"/>
          <w:szCs w:val="20"/>
        </w:rPr>
        <w:t xml:space="preserve"> time domain windows or patterns can be predefined for different MBS services. A UE can receive the specific MBS service in its associated SPS PDSCH occasions. </w:t>
      </w:r>
    </w:p>
    <w:p>
      <w:pPr>
        <w:spacing w:after="180"/>
        <w:rPr>
          <w:rFonts w:ascii="Times New Roman" w:hAnsi="Times New Roman" w:cs="Times New Roman"/>
          <w:i/>
          <w:iCs/>
          <w:sz w:val="20"/>
          <w:szCs w:val="20"/>
        </w:rPr>
      </w:pPr>
      <w:r>
        <w:rPr>
          <w:rFonts w:hint="eastAsia" w:ascii="Times New Roman" w:hAnsi="Times New Roman" w:cs="Times New Roman"/>
          <w:b/>
          <w:i/>
          <w:iCs/>
          <w:sz w:val="20"/>
          <w:szCs w:val="20"/>
        </w:rPr>
        <w:t>P</w:t>
      </w:r>
      <w:r>
        <w:rPr>
          <w:rFonts w:ascii="Times New Roman" w:hAnsi="Times New Roman" w:cs="Times New Roman"/>
          <w:b/>
          <w:i/>
          <w:iCs/>
          <w:sz w:val="20"/>
          <w:szCs w:val="20"/>
        </w:rPr>
        <w:t>roposal 1</w:t>
      </w:r>
      <w:r>
        <w:rPr>
          <w:rFonts w:hint="eastAsia" w:ascii="Times New Roman" w:hAnsi="Times New Roman" w:cs="Times New Roman"/>
          <w:b/>
          <w:i/>
          <w:iCs/>
          <w:sz w:val="20"/>
          <w:szCs w:val="20"/>
        </w:rPr>
        <w:t>6</w:t>
      </w:r>
      <w:r>
        <w:rPr>
          <w:rFonts w:ascii="Times New Roman" w:hAnsi="Times New Roman" w:cs="Times New Roman"/>
          <w:i/>
          <w:iCs/>
          <w:sz w:val="20"/>
          <w:szCs w:val="20"/>
        </w:rPr>
        <w:t xml:space="preserve">: Multiple G-CS-RNTIs can associate with the same SPS-config. </w:t>
      </w:r>
    </w:p>
    <w:p>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UE-specific activation PDCCH</w:t>
      </w:r>
    </w:p>
    <w:p>
      <w:pPr>
        <w:spacing w:after="180"/>
        <w:rPr>
          <w:rFonts w:ascii="Times New Roman" w:hAnsi="Times New Roman" w:cs="Times New Roman"/>
          <w:iCs/>
          <w:sz w:val="20"/>
          <w:szCs w:val="20"/>
        </w:rPr>
      </w:pPr>
      <w:r>
        <w:rPr>
          <w:rFonts w:ascii="Times New Roman" w:hAnsi="Times New Roman" w:cs="Times New Roman"/>
          <w:iCs/>
          <w:sz w:val="20"/>
          <w:szCs w:val="20"/>
        </w:rPr>
        <w:t>There may be two potential methods for SPS GC-PDSCH activation or deactivation, i.e. GC-PDCCH and UE-specific PDCCH. The activation and deactivation via GC-PDCCH has already been supported. The following analyzes the necessity of further supporting the activation and deactivation using UE-specific PDCCH.</w:t>
      </w:r>
    </w:p>
    <w:p>
      <w:pPr>
        <w:spacing w:after="180"/>
        <w:rPr>
          <w:rFonts w:ascii="Times New Roman" w:hAnsi="Times New Roman" w:cs="Times New Roman"/>
          <w:iCs/>
          <w:sz w:val="20"/>
          <w:szCs w:val="20"/>
        </w:rPr>
      </w:pPr>
      <w:r>
        <w:rPr>
          <w:rFonts w:ascii="Times New Roman" w:hAnsi="Times New Roman" w:cs="Times New Roman"/>
          <w:iCs/>
          <w:sz w:val="20"/>
          <w:szCs w:val="20"/>
        </w:rPr>
        <w:t xml:space="preserve">Undoubtedly, activation or deactivation of a SPS transmission by a GC-PDCCH is applicable to indicate or change the scheduling parameters or stop the transmission for a group of UEs. </w:t>
      </w:r>
    </w:p>
    <w:p>
      <w:pPr>
        <w:spacing w:after="180"/>
        <w:rPr>
          <w:rFonts w:ascii="Times New Roman" w:hAnsi="Times New Roman" w:cs="Times New Roman"/>
          <w:iCs/>
          <w:sz w:val="20"/>
          <w:szCs w:val="20"/>
        </w:rPr>
      </w:pPr>
      <w:r>
        <w:rPr>
          <w:rFonts w:ascii="Times New Roman" w:hAnsi="Times New Roman" w:cs="Times New Roman"/>
          <w:iCs/>
          <w:sz w:val="20"/>
          <w:szCs w:val="20"/>
        </w:rPr>
        <w:t>The question is that if a new UE joins in the MBS service group after the activation, whether a GC-activation PDCCH can also be used for the new joined UE. Some companies concerned that the GC-activation PDCCH without any parameter update will disturb irrelevant UEs. In practice, however, the UE anyway needs to monitor the GC-activation PDCCH according to the configuration of search space set and CORESET. This does not cause extra blind detection overhead for these UEs. So it does not seem to be a problem for using GC-PDCCH to reactivate the SPS transmission for the new joined UE.</w:t>
      </w:r>
    </w:p>
    <w:p>
      <w:pPr>
        <w:spacing w:after="180"/>
        <w:rPr>
          <w:rFonts w:ascii="Times New Roman" w:hAnsi="Times New Roman" w:cs="Times New Roman"/>
          <w:iCs/>
          <w:sz w:val="20"/>
          <w:szCs w:val="20"/>
        </w:rPr>
      </w:pPr>
      <w:r>
        <w:rPr>
          <w:rFonts w:ascii="Times New Roman" w:hAnsi="Times New Roman" w:cs="Times New Roman"/>
          <w:iCs/>
          <w:sz w:val="20"/>
          <w:szCs w:val="20"/>
        </w:rPr>
        <w:t>For deactivation PDCCH, if a UE does not want to receive the SPS transmission for a MBS service, the UE will unsubscribe this MBS service. This is a question about whether a deactivation PDCCH is still required to be transmitted after the UE has already stopped to receive this SPS transmission.</w:t>
      </w:r>
    </w:p>
    <w:p>
      <w:pPr>
        <w:spacing w:after="180"/>
        <w:rPr>
          <w:rFonts w:ascii="Times New Roman" w:hAnsi="Times New Roman" w:cs="Times New Roman"/>
          <w:iCs/>
          <w:sz w:val="20"/>
          <w:szCs w:val="20"/>
        </w:rPr>
      </w:pPr>
      <w:r>
        <w:rPr>
          <w:rFonts w:ascii="Times New Roman" w:hAnsi="Times New Roman" w:cs="Times New Roman"/>
          <w:iCs/>
          <w:sz w:val="20"/>
          <w:szCs w:val="20"/>
        </w:rPr>
        <w:t xml:space="preserve">Therefore, it is unnecessary to further support UE-specific PDCCH as activation/de-activation PDCCH under the prerequisite that GC-PDCCH has already be supported for activating/deactivating an SPS transmission. </w:t>
      </w:r>
    </w:p>
    <w:p>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17</w:t>
      </w:r>
      <w:r>
        <w:rPr>
          <w:rFonts w:ascii="Times New Roman" w:hAnsi="Times New Roman" w:cs="Times New Roman"/>
          <w:i/>
          <w:sz w:val="20"/>
          <w:szCs w:val="20"/>
          <w:lang w:val="en-GB"/>
        </w:rPr>
        <w:t xml:space="preserve">: </w:t>
      </w:r>
      <w:r>
        <w:rPr>
          <w:rFonts w:ascii="Times New Roman" w:hAnsi="Times New Roman" w:cs="Times New Roman"/>
          <w:i/>
          <w:sz w:val="20"/>
          <w:szCs w:val="20"/>
        </w:rPr>
        <w:t>UE-specific PDCCH is not needed for activation/deactivation of an SPS GC-PDSCH</w:t>
      </w:r>
      <w:r>
        <w:t xml:space="preserve"> </w:t>
      </w:r>
      <w:r>
        <w:rPr>
          <w:rFonts w:ascii="Times New Roman" w:hAnsi="Times New Roman" w:cs="Times New Roman"/>
          <w:i/>
          <w:sz w:val="20"/>
          <w:szCs w:val="20"/>
        </w:rPr>
        <w:t xml:space="preserve">given that group-common PDSCH has already been supported. </w:t>
      </w:r>
    </w:p>
    <w:p>
      <w:pPr>
        <w:spacing w:after="180"/>
        <w:rPr>
          <w:rFonts w:ascii="Times New Roman" w:hAnsi="Times New Roman" w:cs="Times New Roman"/>
          <w:b/>
          <w:bCs/>
          <w:sz w:val="20"/>
          <w:szCs w:val="20"/>
          <w:u w:val="single"/>
        </w:rPr>
      </w:pPr>
    </w:p>
    <w:p>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Retransmission scheme of the activation command</w:t>
      </w:r>
    </w:p>
    <w:p>
      <w:pPr>
        <w:spacing w:after="180"/>
        <w:rPr>
          <w:rFonts w:ascii="Times New Roman" w:hAnsi="Times New Roman" w:cs="Times New Roman"/>
          <w:iCs/>
          <w:sz w:val="20"/>
          <w:szCs w:val="20"/>
        </w:rPr>
      </w:pPr>
      <w:r>
        <w:rPr>
          <w:rFonts w:ascii="Times New Roman" w:hAnsi="Times New Roman" w:eastAsia="宋体" w:cs="Times New Roman"/>
          <w:iCs/>
          <w:sz w:val="20"/>
          <w:szCs w:val="20"/>
        </w:rPr>
        <w:t>GC-PDCCH has supported for the initial transmission</w:t>
      </w:r>
      <w:bookmarkStart w:id="27" w:name="OLE_LINK28"/>
      <w:r>
        <w:rPr>
          <w:rFonts w:ascii="Times New Roman" w:hAnsi="Times New Roman" w:eastAsia="宋体" w:cs="Times New Roman"/>
          <w:iCs/>
          <w:sz w:val="20"/>
          <w:szCs w:val="20"/>
        </w:rPr>
        <w:t xml:space="preserve"> of the activation command</w:t>
      </w:r>
      <w:bookmarkEnd w:id="27"/>
      <w:r>
        <w:rPr>
          <w:rFonts w:ascii="Times New Roman" w:hAnsi="Times New Roman" w:eastAsia="宋体" w:cs="Times New Roman"/>
          <w:iCs/>
          <w:sz w:val="20"/>
          <w:szCs w:val="20"/>
        </w:rPr>
        <w:t xml:space="preserve">. If NACK-only is supported and configured for SPS-based MBS transmission, only GC-PDCCH can be used for retransmitting the activation command. So it naturally takes the GC-PDCCH as a baseline mechanism for retransmitting the activation commands. </w:t>
      </w:r>
    </w:p>
    <w:p>
      <w:pPr>
        <w:spacing w:after="180"/>
        <w:rPr>
          <w:rFonts w:ascii="Times New Roman" w:hAnsi="Times New Roman" w:cs="Times New Roman"/>
          <w:iCs/>
          <w:sz w:val="20"/>
          <w:szCs w:val="20"/>
        </w:rPr>
      </w:pPr>
      <w:r>
        <w:rPr>
          <w:rFonts w:ascii="Times New Roman" w:hAnsi="Times New Roman" w:eastAsia="宋体" w:cs="Times New Roman"/>
          <w:iCs/>
          <w:sz w:val="20"/>
          <w:szCs w:val="20"/>
        </w:rPr>
        <w:t xml:space="preserve">Some companies believe that higher reliability can be obtained by supporting UE-specific PDCCH for retransmission of the activation command. From our point of view, the GC-PDCCH can also achieve the same reliability as the UE-specific PDCCH by setting the transmission parameters (such as, beam, AL, etc.) of the GC-PDCCH according to the UE missed to detect the activation command. Then, the motivation is not so clear for further supporting UE-specific PDCCH for the initial transmission of the activation command. </w:t>
      </w:r>
    </w:p>
    <w:p>
      <w:pPr>
        <w:spacing w:after="180"/>
        <w:rPr>
          <w:rFonts w:ascii="Times New Roman" w:hAnsi="Times New Roman" w:cs="Times New Roman"/>
          <w:sz w:val="20"/>
          <w:szCs w:val="20"/>
        </w:rPr>
      </w:pPr>
      <w:r>
        <w:rPr>
          <w:rFonts w:ascii="Times New Roman" w:hAnsi="Times New Roman" w:eastAsia="宋体" w:cs="Times New Roman"/>
          <w:iCs/>
          <w:sz w:val="20"/>
          <w:szCs w:val="20"/>
        </w:rPr>
        <w:t xml:space="preserve">Regarding </w:t>
      </w:r>
      <w:r>
        <w:rPr>
          <w:rFonts w:ascii="Times New Roman" w:hAnsi="Times New Roman" w:cs="Times New Roman"/>
          <w:sz w:val="20"/>
          <w:szCs w:val="20"/>
        </w:rPr>
        <w:t xml:space="preserve">retransmitting the activation command via MAC-CE, it will obviously bring about a larger indication delay in both information generation and processing. In addition, if the PDSCH carrying the MAC-CE is not decoded correctly by the UE and needs to be retransmitted, the time domain location of the retransmission PDSCH will be limited to avoid PDSCH re-coding. </w:t>
      </w:r>
    </w:p>
    <w:p>
      <w:pPr>
        <w:spacing w:after="180"/>
        <w:rPr>
          <w:rFonts w:ascii="Times New Roman" w:hAnsi="Times New Roman" w:cs="Times New Roman"/>
          <w:sz w:val="20"/>
          <w:szCs w:val="20"/>
        </w:rPr>
      </w:pPr>
      <w:r>
        <w:rPr>
          <w:rFonts w:ascii="Times New Roman" w:hAnsi="Times New Roman" w:cs="Times New Roman"/>
          <w:sz w:val="20"/>
          <w:szCs w:val="20"/>
        </w:rPr>
        <w:t>As an example shown in Figure</w:t>
      </w:r>
      <w:r>
        <w:rPr>
          <w:rFonts w:ascii="Times New Roman" w:hAnsi="Times New Roman" w:eastAsia="宋体" w:cs="Times New Roman"/>
          <w:sz w:val="20"/>
          <w:szCs w:val="20"/>
        </w:rPr>
        <w:t>-3, PDSCH 2 carrying activation command is not decoded by the UE. According to the description of MAC-CE scheme[</w:t>
      </w:r>
      <w:r>
        <w:rPr>
          <w:rFonts w:hint="eastAsia" w:ascii="Times New Roman" w:hAnsi="Times New Roman" w:eastAsia="宋体" w:cs="Times New Roman"/>
          <w:sz w:val="20"/>
          <w:szCs w:val="20"/>
          <w:lang w:val="en-US" w:eastAsia="zh-CN"/>
        </w:rPr>
        <w:t>5</w:t>
      </w:r>
      <w:r>
        <w:rPr>
          <w:rFonts w:ascii="Times New Roman" w:hAnsi="Times New Roman" w:eastAsia="宋体" w:cs="Times New Roman"/>
          <w:sz w:val="20"/>
          <w:szCs w:val="20"/>
        </w:rPr>
        <w:t>], the slot that are aligned with those in the original group-based SPS activation PDCCH should be indicated in the MAC-CE. There may be two potential ways for slot indication, one is indicating the absolute time of the original activation PDCCH, and another is relative time (i.e., a slot offset) between PDSCH carrying MAC-CE and the original activation PDCCH or SPS PDSCH. The former mode introduces a large signaling overhead, which does not seem appropriate. If the latter mode is adopted, t</w:t>
      </w:r>
      <w:r>
        <w:rPr>
          <w:rFonts w:ascii="Times New Roman" w:hAnsi="Times New Roman" w:cs="Times New Roman"/>
          <w:sz w:val="20"/>
          <w:szCs w:val="20"/>
        </w:rPr>
        <w:t xml:space="preserve">he retransmission PDSCH (i.e., PDSCH4) should be scheduled by considering the location of </w:t>
      </w:r>
      <w:r>
        <w:rPr>
          <w:rFonts w:ascii="Times New Roman" w:hAnsi="Times New Roman" w:eastAsia="宋体" w:cs="Times New Roman"/>
          <w:sz w:val="20"/>
          <w:szCs w:val="20"/>
        </w:rPr>
        <w:t xml:space="preserve">the original activation PDCCH or </w:t>
      </w:r>
      <w:r>
        <w:rPr>
          <w:rFonts w:ascii="Times New Roman" w:hAnsi="Times New Roman" w:cs="Times New Roman"/>
          <w:sz w:val="20"/>
          <w:szCs w:val="20"/>
        </w:rPr>
        <w:t xml:space="preserve">SPS PDSCH. That is, the same slot offset between the PDSCH carrying the activation command and the </w:t>
      </w:r>
      <w:r>
        <w:rPr>
          <w:rFonts w:ascii="Times New Roman" w:hAnsi="Times New Roman" w:eastAsia="宋体" w:cs="Times New Roman"/>
          <w:sz w:val="20"/>
          <w:szCs w:val="20"/>
        </w:rPr>
        <w:t xml:space="preserve">original activation PDCCH or </w:t>
      </w:r>
      <w:r>
        <w:rPr>
          <w:rFonts w:ascii="Times New Roman" w:hAnsi="Times New Roman" w:cs="Times New Roman"/>
          <w:sz w:val="20"/>
          <w:szCs w:val="20"/>
        </w:rPr>
        <w:t xml:space="preserve">SPS PDSCH should be maintained. In the example case of Figure-3, only slot 7 can be used for scheduling PDSCH4. This greatly affects scheduling flexibility. </w:t>
      </w:r>
    </w:p>
    <w:p>
      <w:pPr>
        <w:spacing w:after="180"/>
        <w:rPr>
          <w:rFonts w:ascii="Times New Roman" w:hAnsi="Times New Roman" w:cs="Times New Roman"/>
          <w:i/>
          <w:sz w:val="20"/>
          <w:szCs w:val="20"/>
        </w:rPr>
      </w:pPr>
      <w:bookmarkStart w:id="28" w:name="OLE_LINK30"/>
      <w:r>
        <w:rPr>
          <w:rFonts w:ascii="Times New Roman" w:hAnsi="Times New Roman" w:cs="Times New Roman"/>
          <w:b/>
          <w:i/>
          <w:sz w:val="20"/>
          <w:szCs w:val="20"/>
        </w:rPr>
        <w:t xml:space="preserve">Observation </w:t>
      </w:r>
      <w:r>
        <w:rPr>
          <w:rFonts w:hint="eastAsia" w:ascii="Times New Roman" w:hAnsi="Times New Roman" w:cs="Times New Roman"/>
          <w:b/>
          <w:i/>
          <w:sz w:val="20"/>
          <w:szCs w:val="20"/>
        </w:rPr>
        <w:t>2</w:t>
      </w:r>
      <w:r>
        <w:rPr>
          <w:rFonts w:ascii="Times New Roman" w:hAnsi="Times New Roman" w:cs="Times New Roman"/>
          <w:i/>
          <w:sz w:val="20"/>
          <w:szCs w:val="20"/>
        </w:rPr>
        <w:t>: Compared with retransmission of activation command via DCI, MAC-CE scheme introduces a larger indication delay and additional scheduling restriction.</w:t>
      </w:r>
    </w:p>
    <w:bookmarkEnd w:id="28"/>
    <w:p>
      <w:pPr>
        <w:jc w:val="center"/>
        <w:rPr>
          <w:rFonts w:ascii="Times New Roman" w:hAnsi="Times New Roman" w:cs="Times New Roman"/>
          <w:sz w:val="20"/>
          <w:szCs w:val="20"/>
        </w:rPr>
      </w:pPr>
      <w:r>
        <w:rPr>
          <w:rFonts w:ascii="Times New Roman" w:hAnsi="Times New Roman" w:cs="Times New Roman"/>
          <w:sz w:val="20"/>
          <w:szCs w:val="20"/>
        </w:rPr>
        <w:drawing>
          <wp:inline distT="0" distB="0" distL="114300" distR="114300">
            <wp:extent cx="4107815" cy="2195195"/>
            <wp:effectExtent l="0" t="0" r="6985" b="1460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4"/>
                    <a:stretch>
                      <a:fillRect/>
                    </a:stretch>
                  </pic:blipFill>
                  <pic:spPr>
                    <a:xfrm>
                      <a:off x="0" y="0"/>
                      <a:ext cx="4107815" cy="2195195"/>
                    </a:xfrm>
                    <a:prstGeom prst="rect">
                      <a:avLst/>
                    </a:prstGeom>
                    <a:noFill/>
                    <a:ln>
                      <a:noFill/>
                    </a:ln>
                  </pic:spPr>
                </pic:pic>
              </a:graphicData>
            </a:graphic>
          </wp:inline>
        </w:drawing>
      </w:r>
    </w:p>
    <w:p>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Figure-3</w:t>
      </w:r>
      <w:r>
        <w:rPr>
          <w:rFonts w:hint="eastAsia" w:ascii="Times New Roman" w:hAnsi="Times New Roman" w:cs="Times New Roman"/>
          <w:b/>
          <w:bCs/>
          <w:sz w:val="20"/>
          <w:szCs w:val="20"/>
        </w:rPr>
        <w:t>:</w:t>
      </w:r>
      <w:r>
        <w:rPr>
          <w:rFonts w:ascii="Times New Roman" w:hAnsi="Times New Roman" w:cs="Times New Roman"/>
          <w:b/>
          <w:bCs/>
          <w:sz w:val="20"/>
          <w:szCs w:val="20"/>
        </w:rPr>
        <w:t xml:space="preserve"> Example case of retransmit the activation command via MAC-CE</w:t>
      </w:r>
    </w:p>
    <w:p>
      <w:pPr>
        <w:tabs>
          <w:tab w:val="left" w:pos="2160"/>
        </w:tabs>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8</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NR MBS supports to retransmit the activation command via GC-PDCCH. </w:t>
      </w:r>
    </w:p>
    <w:p>
      <w:pPr>
        <w:pStyle w:val="2"/>
      </w:pPr>
      <w:r>
        <w:rPr>
          <w:lang w:eastAsia="zh-CN"/>
        </w:rPr>
        <w:t>E</w:t>
      </w:r>
      <w:r>
        <w:rPr>
          <w:rFonts w:hint="eastAsia"/>
          <w:lang w:eastAsia="zh-CN"/>
        </w:rPr>
        <w:t>nhancement</w:t>
      </w:r>
      <w:r>
        <w:rPr>
          <w:rFonts w:hint="eastAsia"/>
          <w:lang w:val="en-US" w:eastAsia="zh-CN"/>
        </w:rPr>
        <w:t xml:space="preserve"> of </w:t>
      </w:r>
      <w:r>
        <w:rPr>
          <w:rFonts w:hint="eastAsia"/>
        </w:rPr>
        <w:t>B</w:t>
      </w:r>
      <w:r>
        <w:t xml:space="preserve">roadcast </w:t>
      </w:r>
      <w:r>
        <w:rPr>
          <w:rFonts w:hint="eastAsia"/>
          <w:lang w:val="en-US" w:eastAsia="zh-CN"/>
        </w:rPr>
        <w:t xml:space="preserve">for </w:t>
      </w:r>
      <w:r>
        <w:t>RRC_CONNECTED</w:t>
      </w:r>
      <w:r>
        <w:rPr>
          <w:rFonts w:hint="eastAsia"/>
          <w:lang w:val="en-US" w:eastAsia="zh-CN"/>
        </w:rPr>
        <w:t xml:space="preserve"> UEs</w:t>
      </w:r>
    </w:p>
    <w:p>
      <w:pPr>
        <w:spacing w:after="180"/>
        <w:rPr>
          <w:rFonts w:ascii="Times New Roman" w:hAnsi="Times New Roman" w:cs="Times New Roman"/>
          <w:sz w:val="20"/>
          <w:szCs w:val="20"/>
          <w:lang w:val="en-GB"/>
        </w:rPr>
      </w:pPr>
      <w:r>
        <w:rPr>
          <w:rFonts w:ascii="Times New Roman" w:hAnsi="Times New Roman" w:cs="Times New Roman"/>
          <w:sz w:val="20"/>
          <w:szCs w:val="20"/>
        </w:rPr>
        <w:t>In RAN1#103-e meeting, it is agreed that t</w:t>
      </w:r>
      <w:r>
        <w:rPr>
          <w:rFonts w:ascii="Times New Roman" w:hAnsi="Times New Roman" w:cs="Times New Roman"/>
          <w:sz w:val="20"/>
          <w:szCs w:val="20"/>
          <w:lang w:val="en-GB"/>
        </w:rPr>
        <w:t>he same GC-PDCCH and the corresponding scheduled GC-PDSCH can be received by both RRC_IDLE/RRC_INACTIVE UEs and RRC_CONNECTED UEs</w:t>
      </w:r>
      <w:r>
        <w:rPr>
          <w:rFonts w:ascii="Times New Roman" w:hAnsi="Times New Roman" w:cs="Times New Roman"/>
          <w:sz w:val="20"/>
          <w:szCs w:val="20"/>
        </w:rPr>
        <w:t xml:space="preserve"> for broadcast reception</w:t>
      </w:r>
      <w:r>
        <w:rPr>
          <w:rFonts w:ascii="Times New Roman" w:hAnsi="Times New Roman" w:cs="Times New Roman"/>
          <w:sz w:val="20"/>
          <w:szCs w:val="20"/>
          <w:lang w:val="en-GB"/>
        </w:rPr>
        <w:t>.</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In this sub-clause, we present our discussion of </w:t>
      </w:r>
      <w:r>
        <w:rPr>
          <w:rFonts w:ascii="Times New Roman" w:hAnsi="Times New Roman" w:cs="Times New Roman"/>
          <w:sz w:val="20"/>
          <w:szCs w:val="20"/>
        </w:rPr>
        <w:t xml:space="preserve">potential enhancement of </w:t>
      </w:r>
      <w:r>
        <w:rPr>
          <w:rFonts w:ascii="Times New Roman" w:hAnsi="Times New Roman" w:cs="Times New Roman"/>
          <w:sz w:val="20"/>
          <w:szCs w:val="20"/>
          <w:lang w:val="en-GB"/>
        </w:rPr>
        <w:t>broadcast mechanism for UEs under RRC_CONNECTED</w:t>
      </w:r>
      <w:r>
        <w:rPr>
          <w:rFonts w:ascii="Times New Roman" w:hAnsi="Times New Roman" w:cs="Times New Roman"/>
          <w:sz w:val="20"/>
          <w:szCs w:val="20"/>
        </w:rPr>
        <w:t xml:space="preserve"> state</w:t>
      </w:r>
      <w:r>
        <w:rPr>
          <w:rFonts w:ascii="Times New Roman" w:hAnsi="Times New Roman" w:cs="Times New Roman"/>
          <w:sz w:val="20"/>
          <w:szCs w:val="20"/>
          <w:lang w:val="en-GB"/>
        </w:rPr>
        <w:t xml:space="preserve">. </w:t>
      </w:r>
    </w:p>
    <w:tbl>
      <w:tblPr>
        <w:tblStyle w:val="5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spacing w:before="0" w:line="240" w:lineRule="auto"/>
              <w:rPr>
                <w:rFonts w:ascii="Times New Roman" w:hAnsi="Times New Roman" w:cs="Times New Roman"/>
                <w:sz w:val="18"/>
                <w:szCs w:val="20"/>
                <w:lang w:val="en-GB"/>
              </w:rPr>
            </w:pPr>
            <w:r>
              <w:rPr>
                <w:rFonts w:ascii="Times New Roman" w:hAnsi="Times New Roman" w:cs="Times New Roman"/>
                <w:sz w:val="18"/>
                <w:szCs w:val="20"/>
                <w:highlight w:val="green"/>
                <w:lang w:val="en-GB"/>
              </w:rPr>
              <w:t>Agreements:</w:t>
            </w:r>
            <w:r>
              <w:rPr>
                <w:rFonts w:ascii="Times New Roman" w:hAnsi="Times New Roman" w:cs="Times New Roman"/>
                <w:sz w:val="18"/>
                <w:szCs w:val="20"/>
                <w:lang w:val="en-GB"/>
              </w:rPr>
              <w:t xml:space="preserve"> From physical layer perspective, for broadcast reception, the same group-common PDCCH and the corresponding scheduled group-common PDSCH can be received by both RRC_IDLE/RRC_INACTIVE UEs and RRC_CONNECTED UEs.</w:t>
            </w:r>
          </w:p>
          <w:p>
            <w:pPr>
              <w:numPr>
                <w:ilvl w:val="0"/>
                <w:numId w:val="26"/>
              </w:numPr>
              <w:spacing w:before="0" w:line="240" w:lineRule="auto"/>
              <w:jc w:val="left"/>
              <w:rPr>
                <w:rFonts w:ascii="Times New Roman" w:hAnsi="Times New Roman" w:cs="Times New Roman"/>
                <w:sz w:val="18"/>
                <w:szCs w:val="20"/>
                <w:lang w:val="en-GB"/>
              </w:rPr>
            </w:pPr>
            <w:r>
              <w:rPr>
                <w:rFonts w:ascii="Times New Roman" w:hAnsi="Times New Roman" w:cs="Times New Roman"/>
                <w:sz w:val="18"/>
                <w:szCs w:val="20"/>
                <w:lang w:val="en-GB"/>
              </w:rPr>
              <w:t>FFS details.</w:t>
            </w:r>
          </w:p>
        </w:tc>
      </w:tr>
    </w:tbl>
    <w:p>
      <w:pPr>
        <w:spacing w:after="180"/>
        <w:rPr>
          <w:rFonts w:ascii="Times New Roman" w:hAnsi="Times New Roman" w:cs="Times New Roman"/>
          <w:sz w:val="20"/>
          <w:szCs w:val="20"/>
          <w:lang w:val="en-GB"/>
        </w:rPr>
      </w:pPr>
      <w:bookmarkStart w:id="29" w:name="OLE_LINK7"/>
    </w:p>
    <w:p>
      <w:pPr>
        <w:spacing w:after="180"/>
        <w:rPr>
          <w:rFonts w:ascii="Times New Roman" w:hAnsi="Times New Roman" w:cs="Times New Roman"/>
          <w:sz w:val="20"/>
          <w:szCs w:val="20"/>
          <w:lang w:val="en-GB"/>
        </w:rPr>
      </w:pPr>
      <w:r>
        <w:rPr>
          <w:rFonts w:ascii="Times New Roman" w:hAnsi="Times New Roman" w:cs="Times New Roman"/>
          <w:sz w:val="20"/>
          <w:szCs w:val="20"/>
          <w:lang w:val="en-GB"/>
        </w:rPr>
        <w:t>For UEs under RRC_IDLE/RRC_INACTIVE</w:t>
      </w:r>
      <w:r>
        <w:rPr>
          <w:rFonts w:ascii="Times New Roman" w:hAnsi="Times New Roman" w:cs="Times New Roman"/>
          <w:sz w:val="20"/>
          <w:szCs w:val="20"/>
        </w:rPr>
        <w:t xml:space="preserve"> states</w:t>
      </w:r>
      <w:r>
        <w:rPr>
          <w:rFonts w:ascii="Times New Roman" w:hAnsi="Times New Roman" w:cs="Times New Roman"/>
          <w:sz w:val="20"/>
          <w:szCs w:val="20"/>
          <w:lang w:val="en-GB"/>
        </w:rPr>
        <w:t>, it is hard or impossible to guarantee the QoS of broadcast service. However, for UEs under RRC_CONNECTED state, it is possible to have some means to further guarantee the QoS of broadcast service. For example, HARQ</w:t>
      </w:r>
      <w:r>
        <w:rPr>
          <w:rFonts w:ascii="Times New Roman" w:hAnsi="Times New Roman" w:cs="Times New Roman"/>
          <w:sz w:val="20"/>
          <w:szCs w:val="20"/>
        </w:rPr>
        <w:t>-ACK</w:t>
      </w:r>
      <w:r>
        <w:rPr>
          <w:rFonts w:ascii="Times New Roman" w:hAnsi="Times New Roman" w:cs="Times New Roman"/>
          <w:sz w:val="20"/>
          <w:szCs w:val="20"/>
          <w:lang w:val="en-GB"/>
        </w:rPr>
        <w:t xml:space="preserve"> feedback may be theoretically beneficial for RRC_CONNECTED UEs since unicast based retransmission can be used to improve reliability. However, it may need further discussion on whether to support better broadcast QoS for RRC_CONNECTED UEs than RRC_IDLE/RRC_INACTIVE UEs.</w:t>
      </w:r>
    </w:p>
    <w:p>
      <w:pPr>
        <w:spacing w:after="180"/>
        <w:rPr>
          <w:rFonts w:ascii="Times New Roman" w:hAnsi="Times New Roman" w:cs="Times New Roman"/>
          <w:sz w:val="20"/>
          <w:szCs w:val="20"/>
          <w:lang w:val="en-GB"/>
        </w:rPr>
      </w:pPr>
      <w:bookmarkStart w:id="30" w:name="OLE_LINK6"/>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9</w:t>
      </w:r>
      <w:r>
        <w:rPr>
          <w:rFonts w:ascii="Times New Roman" w:hAnsi="Times New Roman" w:cs="Times New Roman"/>
          <w:i/>
          <w:sz w:val="20"/>
          <w:szCs w:val="20"/>
          <w:lang w:val="en-GB"/>
        </w:rPr>
        <w:t xml:space="preserve">: RAN1 further studies whether to support HARQ-ACK </w:t>
      </w:r>
      <w:r>
        <w:rPr>
          <w:rFonts w:ascii="Times New Roman" w:hAnsi="Times New Roman" w:cs="Times New Roman"/>
          <w:i/>
          <w:sz w:val="20"/>
          <w:szCs w:val="20"/>
        </w:rPr>
        <w:t xml:space="preserve">feedback </w:t>
      </w:r>
      <w:r>
        <w:rPr>
          <w:rFonts w:ascii="Times New Roman" w:hAnsi="Times New Roman" w:cs="Times New Roman"/>
          <w:i/>
          <w:sz w:val="20"/>
          <w:szCs w:val="20"/>
          <w:lang w:val="en-GB"/>
        </w:rPr>
        <w:t>for broadcast service for UEs under RRC_CONNECTED state.</w:t>
      </w:r>
    </w:p>
    <w:bookmarkEnd w:id="29"/>
    <w:bookmarkEnd w:id="30"/>
    <w:p>
      <w:pPr>
        <w:pStyle w:val="2"/>
        <w:rPr>
          <w:lang w:eastAsia="zh-CN"/>
        </w:rPr>
      </w:pPr>
      <w:r>
        <w:rPr>
          <w:rFonts w:hint="eastAsia"/>
          <w:lang w:eastAsia="zh-CN"/>
        </w:rPr>
        <w:t>C</w:t>
      </w:r>
      <w:r>
        <w:rPr>
          <w:lang w:eastAsia="zh-CN"/>
        </w:rPr>
        <w:t>onclusion</w:t>
      </w:r>
    </w:p>
    <w:p>
      <w:pPr>
        <w:spacing w:after="180"/>
        <w:rPr>
          <w:rFonts w:ascii="Times New Roman" w:hAnsi="Times New Roman" w:cs="Times New Roman"/>
          <w:sz w:val="20"/>
          <w:szCs w:val="21"/>
        </w:rPr>
      </w:pPr>
      <w:r>
        <w:rPr>
          <w:rFonts w:ascii="Times New Roman" w:hAnsi="Times New Roman" w:cs="Times New Roman"/>
          <w:sz w:val="20"/>
          <w:szCs w:val="21"/>
        </w:rPr>
        <w:t>In this contribution, the discussion and analysis on mechanisms for group scheduling for RRC_CONNECTED UEs are presented with the following observation</w:t>
      </w:r>
      <w:r>
        <w:rPr>
          <w:rFonts w:hint="eastAsia" w:ascii="Times New Roman" w:hAnsi="Times New Roman" w:cs="Times New Roman"/>
          <w:sz w:val="20"/>
          <w:szCs w:val="21"/>
        </w:rPr>
        <w:t>s</w:t>
      </w:r>
      <w:r>
        <w:rPr>
          <w:rFonts w:ascii="Times New Roman" w:hAnsi="Times New Roman" w:cs="Times New Roman"/>
          <w:sz w:val="20"/>
          <w:szCs w:val="21"/>
        </w:rPr>
        <w:t xml:space="preserve"> and proposals.</w:t>
      </w:r>
    </w:p>
    <w:p>
      <w:pPr>
        <w:spacing w:after="180"/>
        <w:rPr>
          <w:rFonts w:ascii="Times New Roman" w:hAnsi="Times New Roman" w:cs="Times New Roman"/>
          <w:b/>
          <w:sz w:val="20"/>
          <w:szCs w:val="21"/>
          <w:u w:val="single"/>
        </w:rPr>
      </w:pPr>
      <w:r>
        <w:rPr>
          <w:rFonts w:ascii="Times New Roman" w:hAnsi="Times New Roman" w:cs="Times New Roman"/>
          <w:b/>
          <w:sz w:val="20"/>
          <w:szCs w:val="21"/>
          <w:u w:val="single"/>
        </w:rPr>
        <w:t>Common frequency resource</w:t>
      </w:r>
    </w:p>
    <w:p>
      <w:pPr>
        <w:pStyle w:val="114"/>
        <w:numPr>
          <w:ilvl w:val="0"/>
          <w:numId w:val="0"/>
        </w:numPr>
        <w:spacing w:after="180"/>
        <w:rPr>
          <w:rFonts w:ascii="Times New Roman" w:hAnsi="Times New Roman" w:cs="Times New Roman"/>
          <w:i/>
          <w:iCs/>
          <w:sz w:val="20"/>
          <w:szCs w:val="20"/>
          <w:lang w:val="en-US"/>
        </w:rPr>
      </w:pPr>
      <w:r>
        <w:rPr>
          <w:rFonts w:ascii="Times New Roman" w:hAnsi="Times New Roman" w:cs="Times New Roman"/>
          <w:b/>
          <w:i/>
          <w:iCs/>
          <w:sz w:val="20"/>
          <w:szCs w:val="20"/>
          <w:lang w:val="en-US"/>
        </w:rPr>
        <w:t>Proposal 1</w:t>
      </w:r>
      <w:r>
        <w:rPr>
          <w:rFonts w:ascii="Times New Roman" w:hAnsi="Times New Roman" w:cs="Times New Roman"/>
          <w:i/>
          <w:iCs/>
          <w:sz w:val="20"/>
          <w:szCs w:val="20"/>
          <w:lang w:val="en-US"/>
        </w:rPr>
        <w:t xml:space="preserve">: NR MBS supports the same RIV configuration method as BWP configuration to indicate frequency range of CFR and </w:t>
      </w:r>
      <m:oMath>
        <m:sSubSup>
          <m:sSubSupPr>
            <m:ctrlPr>
              <w:rPr>
                <w:rFonts w:ascii="Cambria Math" w:hAnsi="Cambria Math" w:cs="Times New Roman" w:eastAsiaTheme="minorEastAsia"/>
                <w:i/>
                <w:sz w:val="20"/>
                <w:szCs w:val="20"/>
                <w:lang w:val="en-US"/>
              </w:rPr>
            </m:ctrlPr>
          </m:sSubSupPr>
          <m:e>
            <m:r>
              <w:rPr>
                <w:rFonts w:ascii="Cambria Math" w:hAnsi="Cambria Math" w:cs="Times New Roman"/>
                <w:sz w:val="20"/>
                <w:szCs w:val="20"/>
              </w:rPr>
              <m:t>N</m:t>
            </m:r>
            <m:ctrlPr>
              <w:rPr>
                <w:rFonts w:ascii="Cambria Math" w:hAnsi="Cambria Math" w:cs="Times New Roman" w:eastAsiaTheme="minorEastAsia"/>
                <w:i/>
                <w:sz w:val="20"/>
                <w:szCs w:val="20"/>
                <w:lang w:val="en-US"/>
              </w:rPr>
            </m:ctrlPr>
          </m:e>
          <m:sub>
            <m:r>
              <w:rPr>
                <w:rFonts w:ascii="Cambria Math" w:hAnsi="Cambria Math" w:cs="Times New Roman"/>
                <w:sz w:val="20"/>
                <w:szCs w:val="20"/>
              </w:rPr>
              <m:t>BWP</m:t>
            </m:r>
            <m:ctrlPr>
              <w:rPr>
                <w:rFonts w:ascii="Cambria Math" w:hAnsi="Cambria Math" w:cs="Times New Roman" w:eastAsiaTheme="minorEastAsia"/>
                <w:i/>
                <w:sz w:val="20"/>
                <w:szCs w:val="20"/>
                <w:lang w:val="en-US"/>
              </w:rPr>
            </m:ctrlPr>
          </m:sub>
          <m:sup>
            <m:r>
              <w:rPr>
                <w:rFonts w:ascii="Cambria Math" w:hAnsi="Cambria Math" w:cs="Times New Roman"/>
                <w:sz w:val="20"/>
                <w:szCs w:val="20"/>
              </w:rPr>
              <m:t>size</m:t>
            </m:r>
            <m:ctrlPr>
              <w:rPr>
                <w:rFonts w:ascii="Cambria Math" w:hAnsi="Cambria Math" w:cs="Times New Roman" w:eastAsiaTheme="minorEastAsia"/>
                <w:i/>
                <w:sz w:val="20"/>
                <w:szCs w:val="20"/>
                <w:lang w:val="en-US"/>
              </w:rPr>
            </m:ctrlPr>
          </m:sup>
        </m:sSubSup>
      </m:oMath>
      <w:r>
        <w:rPr>
          <w:rFonts w:hint="eastAsia" w:ascii="Times New Roman" w:hAnsi="Times New Roman" w:cs="Times New Roman"/>
          <w:i/>
          <w:sz w:val="20"/>
          <w:szCs w:val="20"/>
        </w:rPr>
        <w:t xml:space="preserve"> </w:t>
      </w:r>
      <w:r>
        <w:rPr>
          <w:rFonts w:ascii="Times New Roman" w:hAnsi="Times New Roman" w:cs="Times New Roman"/>
          <w:i/>
          <w:sz w:val="20"/>
          <w:szCs w:val="20"/>
        </w:rPr>
        <w:t>is set to 275 to determine S and L for the CFR.</w:t>
      </w:r>
    </w:p>
    <w:p>
      <w:pPr>
        <w:pStyle w:val="114"/>
        <w:numPr>
          <w:ilvl w:val="0"/>
          <w:numId w:val="0"/>
        </w:numPr>
        <w:spacing w:after="180"/>
        <w:rPr>
          <w:rFonts w:ascii="Times New Roman" w:hAnsi="Times New Roman" w:cs="Times New Roman"/>
          <w:i/>
          <w:iCs/>
          <w:sz w:val="20"/>
          <w:szCs w:val="20"/>
          <w:lang w:val="en-US"/>
        </w:rPr>
      </w:pPr>
      <w:r>
        <w:rPr>
          <w:rFonts w:ascii="Times New Roman" w:hAnsi="Times New Roman" w:cs="Times New Roman"/>
          <w:b/>
          <w:bCs/>
          <w:i/>
          <w:iCs/>
          <w:sz w:val="20"/>
          <w:szCs w:val="20"/>
          <w:lang w:val="en-US"/>
        </w:rPr>
        <w:t xml:space="preserve">Proposal </w:t>
      </w:r>
      <w:r>
        <w:rPr>
          <w:rFonts w:hint="eastAsia" w:ascii="Times New Roman" w:hAnsi="Times New Roman" w:eastAsia="宋体" w:cs="Times New Roman"/>
          <w:b/>
          <w:bCs/>
          <w:i/>
          <w:iCs/>
          <w:sz w:val="20"/>
          <w:szCs w:val="20"/>
          <w:lang w:val="en-US"/>
        </w:rPr>
        <w:t>2</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CFR </w:t>
      </w:r>
      <w:r>
        <w:rPr>
          <w:rFonts w:ascii="Times New Roman" w:hAnsi="Times New Roman" w:cs="Times New Roman"/>
          <w:i/>
          <w:iCs/>
          <w:sz w:val="20"/>
          <w:szCs w:val="20"/>
          <w:lang w:val="en-US"/>
        </w:rPr>
        <w:t xml:space="preserve">can be </w:t>
      </w:r>
      <w:r>
        <w:rPr>
          <w:rFonts w:ascii="Times New Roman" w:hAnsi="Times New Roman" w:cs="Times New Roman"/>
          <w:i/>
          <w:iCs/>
          <w:sz w:val="20"/>
          <w:szCs w:val="20"/>
        </w:rPr>
        <w:t xml:space="preserve">configured </w:t>
      </w:r>
      <w:r>
        <w:rPr>
          <w:rFonts w:ascii="Times New Roman" w:hAnsi="Times New Roman" w:cs="Times New Roman"/>
          <w:i/>
          <w:iCs/>
          <w:sz w:val="20"/>
          <w:szCs w:val="20"/>
          <w:lang w:val="en-US"/>
        </w:rPr>
        <w:t xml:space="preserve">larger than active downlink BWP when the active downlink BWP is the initial BWP defined by CORESET#0. </w:t>
      </w:r>
    </w:p>
    <w:p>
      <w:pPr>
        <w:pStyle w:val="114"/>
        <w:numPr>
          <w:ilvl w:val="0"/>
          <w:numId w:val="13"/>
        </w:numPr>
        <w:rPr>
          <w:rFonts w:ascii="Times New Roman" w:hAnsi="Times New Roman" w:cs="Times New Roman"/>
          <w:i/>
          <w:iCs/>
          <w:sz w:val="20"/>
          <w:szCs w:val="20"/>
          <w:lang w:val="en-US"/>
        </w:rPr>
      </w:pPr>
      <w:r>
        <w:rPr>
          <w:rFonts w:ascii="Times New Roman" w:hAnsi="Times New Roman" w:cs="Times New Roman"/>
          <w:i/>
          <w:iCs/>
          <w:sz w:val="20"/>
          <w:szCs w:val="20"/>
          <w:lang w:val="en-US"/>
        </w:rPr>
        <w:t>Prioritize the corresponding discussion in RRC IDLE/INACTIVE state to strive for a consistent solution for all RRC states</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3</w:t>
      </w:r>
      <w:r>
        <w:rPr>
          <w:rFonts w:ascii="Times New Roman" w:hAnsi="Times New Roman" w:cs="Times New Roman"/>
          <w:i/>
          <w:sz w:val="20"/>
          <w:szCs w:val="20"/>
        </w:rPr>
        <w:t xml:space="preserve">: Regarding the CFR configuration,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More than one CFR can be supported per dedicated unicast BWP.</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color w:val="000000" w:themeColor="text1"/>
          <w:sz w:val="20"/>
          <w:szCs w:val="20"/>
          <w:lang w:val="en-US"/>
          <w14:textFill>
            <w14:solidFill>
              <w14:schemeClr w14:val="tx1"/>
            </w14:solidFill>
          </w14:textFill>
        </w:rPr>
        <w:t>The parameters configured under the dedicated unicast BWP can be used for MBS transmission if the corresponding parameters are not configured under the CFR</w:t>
      </w:r>
      <w:r>
        <w:rPr>
          <w:rFonts w:ascii="Times New Roman" w:hAnsi="Times New Roman" w:cs="Times New Roman"/>
          <w:i/>
          <w:iCs/>
          <w:color w:val="000000" w:themeColor="text1"/>
          <w:sz w:val="20"/>
          <w:szCs w:val="20"/>
          <w14:textFill>
            <w14:solidFill>
              <w14:schemeClr w14:val="tx1"/>
            </w14:solidFill>
          </w14:textFill>
        </w:rPr>
        <w:t>.</w:t>
      </w:r>
    </w:p>
    <w:p>
      <w:pPr>
        <w:spacing w:after="180"/>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the energy saving effect is limited by introducing an independent inactivity timer for GC-PDCCH reception. </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rPr>
        <w:t>4</w:t>
      </w:r>
      <w:r>
        <w:rPr>
          <w:rFonts w:ascii="Times New Roman" w:hAnsi="Times New Roman" w:cs="Times New Roman"/>
          <w:i/>
          <w:sz w:val="20"/>
          <w:szCs w:val="20"/>
        </w:rPr>
        <w:t xml:space="preserve">: </w:t>
      </w:r>
      <w:r>
        <w:rPr>
          <w:rFonts w:hint="eastAsia" w:ascii="Times New Roman" w:hAnsi="Times New Roman" w:cs="Times New Roman"/>
          <w:i/>
          <w:sz w:val="20"/>
          <w:szCs w:val="20"/>
        </w:rPr>
        <w:t>Fo</w:t>
      </w:r>
      <w:r>
        <w:rPr>
          <w:rFonts w:ascii="Times New Roman" w:hAnsi="Times New Roman" w:cs="Times New Roman"/>
          <w:i/>
          <w:sz w:val="20"/>
          <w:szCs w:val="20"/>
        </w:rPr>
        <w:t>r timer-based BWP switching</w:t>
      </w:r>
      <w:r>
        <w:rPr>
          <w:rFonts w:hint="eastAsia" w:ascii="Times New Roman" w:hAnsi="Times New Roman" w:cs="Times New Roman"/>
          <w:i/>
          <w:sz w:val="20"/>
          <w:szCs w:val="20"/>
        </w:rPr>
        <w:t xml:space="preserve">, </w:t>
      </w:r>
      <w:r>
        <w:rPr>
          <w:rFonts w:ascii="Times New Roman" w:hAnsi="Times New Roman" w:cs="Times New Roman"/>
          <w:i/>
          <w:sz w:val="20"/>
          <w:szCs w:val="20"/>
        </w:rPr>
        <w:t xml:space="preserve">UE starts or restarts BWP-InactivityTimer when it successfully decodes a GC-PDCCH addressed to group-common RNTI (e.g., G-RNTI or G-CS-RNTI) on/for the active BWP. </w:t>
      </w:r>
    </w:p>
    <w:p>
      <w:pPr>
        <w:spacing w:after="180"/>
        <w:rPr>
          <w:rFonts w:ascii="Times New Roman" w:hAnsi="Times New Roman" w:cs="Times New Roman"/>
          <w:b/>
          <w:iCs/>
          <w:sz w:val="20"/>
          <w:szCs w:val="21"/>
          <w:u w:val="single"/>
        </w:rPr>
      </w:pPr>
    </w:p>
    <w:p>
      <w:pPr>
        <w:spacing w:after="180"/>
        <w:rPr>
          <w:rFonts w:ascii="Times New Roman" w:hAnsi="Times New Roman" w:cs="Times New Roman"/>
          <w:b/>
          <w:iCs/>
          <w:sz w:val="20"/>
          <w:szCs w:val="21"/>
          <w:u w:val="single"/>
        </w:rPr>
      </w:pPr>
      <w:r>
        <w:rPr>
          <w:rFonts w:ascii="Times New Roman" w:hAnsi="Times New Roman" w:cs="Times New Roman"/>
          <w:b/>
          <w:iCs/>
          <w:sz w:val="20"/>
          <w:szCs w:val="21"/>
          <w:u w:val="single"/>
        </w:rPr>
        <w:t>Detailed design of GC-PDCCH</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Monitoring configurations (e.g., CORESETs, Search Spaces, etc.) for GC-PDCCH of PTM retransmission can be configured separately from that for GC-PDCCH of PTM initial transmission. </w:t>
      </w:r>
    </w:p>
    <w:p>
      <w:pPr>
        <w:pStyle w:val="114"/>
        <w:numPr>
          <w:ilvl w:val="255"/>
          <w:numId w:val="0"/>
        </w:num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eastAsia="宋体" w:cs="Times New Roman"/>
          <w:b/>
          <w:i/>
          <w:sz w:val="20"/>
          <w:szCs w:val="20"/>
          <w:lang w:val="en-US"/>
        </w:rPr>
        <w:t>6</w:t>
      </w:r>
      <w:r>
        <w:rPr>
          <w:rFonts w:ascii="Times New Roman" w:hAnsi="Times New Roman" w:cs="Times New Roman"/>
          <w:i/>
          <w:sz w:val="20"/>
          <w:szCs w:val="20"/>
        </w:rPr>
        <w:t>: For NR multicast, introduce beam sweeping via defining association between MOs of GC-PDCCH</w:t>
      </w:r>
      <w:r>
        <w:rPr>
          <w:rFonts w:ascii="Times New Roman" w:hAnsi="Times New Roman" w:cs="Times New Roman"/>
          <w:i/>
          <w:sz w:val="20"/>
          <w:szCs w:val="20"/>
          <w:lang w:val="en-US"/>
        </w:rPr>
        <w:t xml:space="preserve"> </w:t>
      </w:r>
      <w:r>
        <w:rPr>
          <w:rFonts w:ascii="Times New Roman" w:hAnsi="Times New Roman" w:cs="Times New Roman"/>
          <w:i/>
          <w:sz w:val="20"/>
          <w:szCs w:val="20"/>
        </w:rPr>
        <w:t>and SSBs or CSI-RSs.</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7</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the first DCI format</w:t>
      </w:r>
      <w:r>
        <w:rPr>
          <w:rFonts w:ascii="Times New Roman" w:hAnsi="Times New Roman" w:cs="Times New Roman"/>
          <w:bCs/>
          <w:i/>
          <w:sz w:val="20"/>
          <w:szCs w:val="20"/>
        </w:rPr>
        <w:t xml:space="preserve"> for GC-PDCCH</w:t>
      </w:r>
      <w:r>
        <w:rPr>
          <w:rFonts w:hint="eastAsia" w:ascii="Times New Roman" w:hAnsi="Times New Roman" w:cs="Times New Roman"/>
          <w:bCs/>
          <w:i/>
          <w:sz w:val="20"/>
          <w:szCs w:val="20"/>
        </w:rPr>
        <w:t xml:space="preserve">, </w:t>
      </w:r>
      <w:r>
        <w:rPr>
          <w:rFonts w:hint="eastAsia" w:ascii="Times New Roman" w:hAnsi="Times New Roman" w:cs="Times New Roman"/>
          <w:i/>
          <w:sz w:val="20"/>
          <w:szCs w:val="20"/>
        </w:rPr>
        <w:t>two fields</w:t>
      </w:r>
      <w:r>
        <w:rPr>
          <w:rFonts w:ascii="Times New Roman" w:hAnsi="Times New Roman" w:cs="Times New Roman"/>
          <w:i/>
          <w:sz w:val="20"/>
          <w:szCs w:val="20"/>
        </w:rPr>
        <w:t xml:space="preserve"> </w:t>
      </w:r>
      <w:r>
        <w:rPr>
          <w:rFonts w:hint="eastAsia" w:ascii="Times New Roman" w:hAnsi="Times New Roman" w:cs="Times New Roman"/>
          <w:i/>
          <w:sz w:val="20"/>
          <w:szCs w:val="20"/>
        </w:rPr>
        <w:t>(i.e., Identifier for DCI formats, TPC command for scheduled PUCCH) with 3 bits can be removed from DCI format 1_0 for unicast.</w:t>
      </w:r>
      <w:r>
        <w:rPr>
          <w:rFonts w:ascii="Times New Roman" w:hAnsi="Times New Roman" w:cs="Times New Roman"/>
          <w:bCs/>
          <w:i/>
          <w:sz w:val="20"/>
          <w:szCs w:val="20"/>
        </w:rPr>
        <w:t xml:space="preserve">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8</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 xml:space="preserve">Option 2 is supported for </w:t>
      </w:r>
      <w:r>
        <w:rPr>
          <w:rFonts w:ascii="Times New Roman" w:hAnsi="Times New Roman" w:eastAsia="Times New Roman" w:cs="Times New Roman"/>
          <w:i/>
          <w:sz w:val="20"/>
          <w:szCs w:val="20"/>
        </w:rPr>
        <w:t>FDRA</w:t>
      </w:r>
      <w:r>
        <w:rPr>
          <w:rFonts w:ascii="Times New Roman" w:hAnsi="Times New Roman" w:cs="Times New Roman"/>
          <w:i/>
          <w:sz w:val="20"/>
          <w:szCs w:val="20"/>
        </w:rPr>
        <w:t xml:space="preserve"> determination of the first DCI format</w:t>
      </w:r>
      <w:r>
        <w:rPr>
          <w:rFonts w:ascii="Times New Roman" w:hAnsi="Times New Roman" w:cs="Times New Roman"/>
          <w:bCs/>
          <w:i/>
          <w:sz w:val="20"/>
          <w:szCs w:val="20"/>
        </w:rPr>
        <w:t xml:space="preserve"> for GC-PDCCH,</w:t>
      </w:r>
      <w:r>
        <w:rPr>
          <w:rFonts w:hint="eastAsia" w:ascii="Times New Roman" w:hAnsi="Times New Roman" w:cs="Times New Roman"/>
          <w:bCs/>
          <w:i/>
          <w:sz w:val="20"/>
          <w:szCs w:val="20"/>
        </w:rPr>
        <w:t xml:space="preserve"> i.e., </w:t>
      </w:r>
    </w:p>
    <w:p>
      <w:pPr>
        <w:pStyle w:val="114"/>
        <w:widowControl/>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object>
          <v:shape id="_x0000_i1029" o:spt="75" type="#_x0000_t75" style="height:16.85pt;width:33.6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5">
            <o:LockedField>false</o:LockedField>
          </o:OLEObject>
        </w:object>
      </w:r>
      <w:r>
        <w:rPr>
          <w:rFonts w:ascii="Times New Roman" w:hAnsi="Times New Roman" w:cs="Times New Roman"/>
          <w:i/>
          <w:iCs/>
          <w:sz w:val="20"/>
          <w:szCs w:val="20"/>
          <w:lang w:val="en-US"/>
        </w:rPr>
        <w:t xml:space="preserve"> is given by</w:t>
      </w:r>
    </w:p>
    <w:p>
      <w:pPr>
        <w:pStyle w:val="114"/>
        <w:widowControl/>
        <w:numPr>
          <w:ilvl w:val="0"/>
          <w:numId w:val="20"/>
        </w:numPr>
        <w:tabs>
          <w:tab w:val="left" w:pos="600"/>
          <w:tab w:val="left" w:pos="1000"/>
          <w:tab w:val="clear" w:pos="84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the size of CORESET 0 if CORESET 0 is configured for the cell; and</w:t>
      </w:r>
    </w:p>
    <w:p>
      <w:pPr>
        <w:pStyle w:val="114"/>
        <w:widowControl/>
        <w:numPr>
          <w:ilvl w:val="0"/>
          <w:numId w:val="20"/>
        </w:numPr>
        <w:tabs>
          <w:tab w:val="left" w:pos="600"/>
          <w:tab w:val="left" w:pos="1000"/>
          <w:tab w:val="clear" w:pos="84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the size of initial DL bandwidth part if CORESET 0 is not configured for the cell.</w:t>
      </w:r>
    </w:p>
    <w:p>
      <w:pPr>
        <w:pStyle w:val="114"/>
        <w:widowControl/>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t>For resource indication value (RIV) of downlink resource allocation type 1, the similar scheme as for the case that the DCI size for DCI format 1_0 in USS is derived from the size of DCI format 1_0 in CSS but applied to an active BWP is used.</w:t>
      </w:r>
    </w:p>
    <w:p>
      <w:pPr>
        <w:pStyle w:val="114"/>
        <w:widowControl/>
        <w:numPr>
          <w:ilvl w:val="0"/>
          <w:numId w:val="20"/>
        </w:numPr>
        <w:tabs>
          <w:tab w:val="left" w:pos="600"/>
          <w:tab w:val="left" w:pos="1000"/>
          <w:tab w:val="clear" w:pos="84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rPr>
        <w:t xml:space="preserve">if the size of CFR (i.e.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CFR</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is larger than the size of CORESET0/initial DL bandwidth part, the </w:t>
      </w:r>
      <w:r>
        <w:rPr>
          <w:rFonts w:ascii="Times New Roman" w:hAnsi="Times New Roman" w:cs="Times New Roman"/>
          <w:i/>
          <w:iCs/>
          <w:color w:val="000000"/>
          <w:sz w:val="20"/>
          <w:szCs w:val="20"/>
        </w:rPr>
        <w:t xml:space="preserve">resource indication value (RIV) is defined as in section 5.1.2.2.2 in TS38.214, where </w:t>
      </w:r>
      <w:r>
        <w:rPr>
          <w:rFonts w:ascii="Times New Roman" w:hAnsi="Times New Roman" w:cs="Times New Roman"/>
          <w:i/>
          <w:iCs/>
          <w:sz w:val="20"/>
          <w:szCs w:val="20"/>
        </w:rPr>
        <w:t xml:space="preserve">K is the maximum value from set {1, 2, 4, 8} which satisfies </w:t>
      </w:r>
      <m:oMath>
        <m:r>
          <w:rPr>
            <w:rFonts w:ascii="Cambria Math" w:hAnsi="Cambria Math" w:cs="Times New Roman"/>
            <w:sz w:val="20"/>
            <w:szCs w:val="20"/>
          </w:rPr>
          <m:t>K≤</m:t>
        </m:r>
        <m:d>
          <m:dPr>
            <m:begChr m:val="⌊"/>
            <m:endChr m:val="⌋"/>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CFR</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BWP</m:t>
                </m:r>
                <m:ctrlPr>
                  <w:rPr>
                    <w:rFonts w:ascii="Cambria Math" w:hAnsi="Cambria Math" w:cs="Times New Roman"/>
                    <w:i/>
                    <w:iCs/>
                    <w:sz w:val="20"/>
                    <w:szCs w:val="20"/>
                  </w:rPr>
                </m:ctrlPr>
              </m:sub>
              <m:sup>
                <m:r>
                  <w:rPr>
                    <w:rFonts w:ascii="Cambria Math" w:hAnsi="Cambria Math" w:cs="Times New Roman"/>
                    <w:sz w:val="20"/>
                    <w:szCs w:val="20"/>
                  </w:rPr>
                  <m:t>initial</m:t>
                </m:r>
                <m:ctrlPr>
                  <w:rPr>
                    <w:rFonts w:ascii="Cambria Math" w:hAnsi="Cambria Math" w:cs="Times New Roman"/>
                    <w:i/>
                    <w:iCs/>
                    <w:sz w:val="20"/>
                    <w:szCs w:val="20"/>
                  </w:rPr>
                </m:ctrlPr>
              </m:sup>
            </m:sSubSup>
            <m:ctrlPr>
              <w:rPr>
                <w:rFonts w:ascii="Cambria Math" w:hAnsi="Cambria Math" w:cs="Times New Roman"/>
                <w:i/>
                <w:iCs/>
                <w:sz w:val="20"/>
                <w:szCs w:val="20"/>
              </w:rPr>
            </m:ctrlPr>
          </m:e>
        </m:d>
      </m:oMath>
      <w:r>
        <w:rPr>
          <w:rFonts w:ascii="Times New Roman" w:hAnsi="Times New Roman" w:cs="Times New Roman"/>
          <w:i/>
          <w:iCs/>
          <w:sz w:val="20"/>
          <w:szCs w:val="20"/>
        </w:rPr>
        <w:t xml:space="preserve">;otherwise, </w:t>
      </w:r>
      <m:oMath>
        <m:r>
          <w:rPr>
            <w:rFonts w:ascii="Cambria Math" w:hAnsi="Cambria Math" w:cs="Times New Roman"/>
            <w:sz w:val="20"/>
            <w:szCs w:val="20"/>
          </w:rPr>
          <m:t>K=1.</m:t>
        </m:r>
      </m:oMath>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9</w:t>
      </w:r>
      <w:r>
        <w:rPr>
          <w:rFonts w:ascii="Times New Roman" w:hAnsi="Times New Roman" w:cs="Times New Roman"/>
          <w:i/>
          <w:sz w:val="20"/>
          <w:szCs w:val="20"/>
          <w:lang w:val="en-GB"/>
        </w:rPr>
        <w:t xml:space="preserve">: </w:t>
      </w:r>
      <w:r>
        <w:rPr>
          <w:rFonts w:hint="eastAsia" w:ascii="Times New Roman" w:hAnsi="Times New Roman" w:cs="Times New Roman"/>
          <w:i/>
          <w:sz w:val="20"/>
          <w:szCs w:val="20"/>
        </w:rPr>
        <w:t>For the second DCI format</w:t>
      </w:r>
      <w:r>
        <w:rPr>
          <w:rFonts w:ascii="Times New Roman" w:hAnsi="Times New Roman" w:cs="Times New Roman"/>
          <w:bCs/>
          <w:i/>
          <w:sz w:val="20"/>
          <w:szCs w:val="20"/>
        </w:rPr>
        <w:t xml:space="preserve"> for GC-PDCC</w:t>
      </w:r>
      <w:r>
        <w:rPr>
          <w:rFonts w:hint="eastAsia" w:ascii="Times New Roman" w:hAnsi="Times New Roman" w:cs="Times New Roman"/>
          <w:i/>
          <w:sz w:val="20"/>
          <w:szCs w:val="20"/>
        </w:rPr>
        <w:t>H, fields</w:t>
      </w:r>
      <w:r>
        <w:rPr>
          <w:rFonts w:ascii="Times New Roman" w:hAnsi="Times New Roman" w:cs="Times New Roman"/>
          <w:i/>
          <w:sz w:val="20"/>
          <w:szCs w:val="20"/>
        </w:rPr>
        <w:t xml:space="preserve"> </w:t>
      </w:r>
      <w:r>
        <w:rPr>
          <w:rFonts w:hint="eastAsia" w:ascii="Times New Roman" w:hAnsi="Times New Roman" w:cs="Times New Roman"/>
          <w:i/>
          <w:sz w:val="20"/>
          <w:szCs w:val="20"/>
        </w:rPr>
        <w:t xml:space="preserve">(such as, Identifier for DCI formats(1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10</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Regarding DCI size alignment for </w:t>
      </w:r>
      <w:r>
        <w:rPr>
          <w:rFonts w:hint="eastAsia" w:ascii="Times New Roman" w:hAnsi="Times New Roman" w:cs="Times New Roman"/>
          <w:i/>
          <w:sz w:val="20"/>
          <w:szCs w:val="20"/>
        </w:rPr>
        <w:t xml:space="preserve">the second DCI format of </w:t>
      </w:r>
      <w:r>
        <w:rPr>
          <w:rFonts w:ascii="Times New Roman" w:hAnsi="Times New Roman" w:cs="Times New Roman"/>
          <w:i/>
          <w:sz w:val="20"/>
          <w:szCs w:val="20"/>
        </w:rPr>
        <w:t xml:space="preserve">GC-PDCCH, </w:t>
      </w:r>
      <w:r>
        <w:rPr>
          <w:rFonts w:hint="eastAsia" w:ascii="Times New Roman" w:hAnsi="Times New Roman" w:cs="Times New Roman"/>
          <w:i/>
          <w:sz w:val="20"/>
          <w:szCs w:val="20"/>
        </w:rPr>
        <w:t xml:space="preserve">it is </w:t>
      </w:r>
      <w:r>
        <w:rPr>
          <w:rFonts w:ascii="Times New Roman" w:hAnsi="Times New Roman" w:cs="Times New Roman"/>
          <w:i/>
          <w:iCs/>
          <w:sz w:val="20"/>
          <w:szCs w:val="20"/>
        </w:rPr>
        <w:t>counted as “other RNTI”, and gNB will ensure that the number of DCI sizes does not exceed budget.</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11</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If the type-x CSS is defined as a type-3 CSS, the following UE behavior on Type-3 CSS monitoring should be defined,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first </w:t>
      </w:r>
      <w:r>
        <w:rPr>
          <w:rFonts w:ascii="Times New Roman" w:hAnsi="Times New Roman" w:cs="Times New Roman"/>
          <w:i/>
          <w:iCs/>
          <w:sz w:val="20"/>
          <w:szCs w:val="20"/>
          <w:lang w:val="en-US"/>
        </w:rPr>
        <w:t xml:space="preserve">DCI format with CRC scrambled by G-RNTI within type-3 CSS, it should always be monitored by the UE.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w:t>
      </w:r>
      <w:r>
        <w:rPr>
          <w:rFonts w:hint="eastAsia" w:ascii="Times New Roman" w:hAnsi="Times New Roman" w:eastAsia="宋体" w:cs="Times New Roman"/>
          <w:i/>
          <w:iCs/>
          <w:sz w:val="20"/>
          <w:szCs w:val="20"/>
          <w:lang w:val="en-US"/>
        </w:rPr>
        <w:t xml:space="preserve">the second </w:t>
      </w:r>
      <w:r>
        <w:rPr>
          <w:rFonts w:ascii="Times New Roman" w:hAnsi="Times New Roman" w:cs="Times New Roman"/>
          <w:i/>
          <w:iCs/>
          <w:sz w:val="20"/>
          <w:szCs w:val="20"/>
          <w:lang w:val="en-US"/>
        </w:rPr>
        <w:t>DCI format with CRC scrambled by G-RNTI within type-3 CSS, the UE determines monitoring priority according to search space index and further decides whether to monitor</w:t>
      </w:r>
      <w:r>
        <w:rPr>
          <w:rFonts w:hint="eastAsia" w:ascii="Times New Roman" w:hAnsi="Times New Roman" w:eastAsia="宋体" w:cs="Times New Roman"/>
          <w:i/>
          <w:iCs/>
          <w:sz w:val="20"/>
          <w:szCs w:val="20"/>
          <w:lang w:val="en-US"/>
        </w:rPr>
        <w:t>.</w:t>
      </w:r>
    </w:p>
    <w:p>
      <w:pPr>
        <w:tabs>
          <w:tab w:val="left" w:pos="2160"/>
        </w:tabs>
        <w:spacing w:after="180"/>
        <w:rPr>
          <w:rFonts w:ascii="Times New Roman" w:hAnsi="Times New Roman" w:cs="Times New Roman"/>
          <w:b/>
          <w:i/>
          <w:sz w:val="20"/>
          <w:szCs w:val="21"/>
          <w:lang w:val="en-GB"/>
        </w:rPr>
      </w:pPr>
    </w:p>
    <w:p>
      <w:pPr>
        <w:tabs>
          <w:tab w:val="left" w:pos="2160"/>
        </w:tabs>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 xml:space="preserve">Detailed design of </w:t>
      </w:r>
      <w:r>
        <w:rPr>
          <w:rFonts w:ascii="Times New Roman" w:hAnsi="Times New Roman" w:cs="Times New Roman"/>
          <w:b/>
          <w:sz w:val="20"/>
          <w:szCs w:val="21"/>
          <w:u w:val="single"/>
        </w:rPr>
        <w:t>GC-</w:t>
      </w:r>
      <w:r>
        <w:rPr>
          <w:rFonts w:ascii="Times New Roman" w:hAnsi="Times New Roman" w:cs="Times New Roman"/>
          <w:b/>
          <w:sz w:val="20"/>
          <w:szCs w:val="21"/>
          <w:u w:val="single"/>
          <w:lang w:val="en-GB"/>
        </w:rPr>
        <w:t>PDSCH</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12</w:t>
      </w:r>
      <w:r>
        <w:rPr>
          <w:rFonts w:ascii="Times New Roman" w:hAnsi="Times New Roman" w:cs="Times New Roman"/>
          <w:i/>
          <w:sz w:val="20"/>
          <w:szCs w:val="20"/>
          <w:lang w:val="en-GB"/>
        </w:rPr>
        <w:t xml:space="preserve">: </w:t>
      </w:r>
      <w:r>
        <w:rPr>
          <w:rFonts w:ascii="Times New Roman" w:hAnsi="Times New Roman" w:cs="Times New Roman"/>
          <w:i/>
          <w:sz w:val="20"/>
          <w:szCs w:val="20"/>
        </w:rPr>
        <w:t>For LBRM and TBS determination for GC-PDSCH</w:t>
      </w:r>
      <w:r>
        <w:rPr>
          <w:rFonts w:hint="eastAsia" w:ascii="Times New Roman" w:hAnsi="Times New Roman" w:cs="Times New Roman"/>
          <w:i/>
          <w:sz w:val="20"/>
          <w:szCs w:val="20"/>
        </w:rPr>
        <w:t>, t</w:t>
      </w:r>
      <w:r>
        <w:rPr>
          <w:rFonts w:ascii="Times New Roman" w:hAnsi="Times New Roman" w:cs="Times New Roman"/>
          <w:i/>
          <w:sz w:val="20"/>
          <w:szCs w:val="20"/>
        </w:rPr>
        <w:t>he maximum modulation order can be determined from mcs-Table in PDSCH-Config for MBS in CFR;</w:t>
      </w:r>
      <w:r>
        <w:rPr>
          <w:rFonts w:hint="eastAsia" w:ascii="Times New Roman" w:hAnsi="Times New Roman" w:cs="Times New Roman"/>
          <w:i/>
          <w:sz w:val="20"/>
          <w:szCs w:val="20"/>
        </w:rPr>
        <w:t xml:space="preserve"> </w:t>
      </w:r>
      <w:r>
        <w:rPr>
          <w:rFonts w:ascii="Times New Roman" w:hAnsi="Times New Roman" w:cs="Times New Roman"/>
          <w:i/>
          <w:sz w:val="20"/>
          <w:szCs w:val="20"/>
        </w:rPr>
        <w:t>if mcs-Table in PDSCH-Config for MBS is not configured in CFR, Table 5.1.3.1-1 in TS38.214 is used</w:t>
      </w:r>
      <w:r>
        <w:rPr>
          <w:rFonts w:hint="eastAsia" w:ascii="Times New Roman" w:hAnsi="Times New Roman" w:cs="Times New Roman"/>
          <w:i/>
          <w:sz w:val="20"/>
          <w:szCs w:val="20"/>
        </w:rPr>
        <w:t>.</w:t>
      </w:r>
      <w:r>
        <w:rPr>
          <w:rFonts w:ascii="Times New Roman" w:hAnsi="Times New Roman" w:cs="Times New Roman"/>
          <w:i/>
          <w:sz w:val="20"/>
          <w:szCs w:val="20"/>
        </w:rPr>
        <w:t xml:space="preserve"> </w:t>
      </w:r>
    </w:p>
    <w:p>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13</w:t>
      </w:r>
      <w:r>
        <w:rPr>
          <w:rFonts w:ascii="Times New Roman" w:hAnsi="Times New Roman" w:cs="Times New Roman"/>
          <w:bCs/>
          <w:i/>
          <w:sz w:val="20"/>
          <w:szCs w:val="20"/>
          <w:lang w:val="en-GB"/>
        </w:rPr>
        <w:t xml:space="preserve">: </w:t>
      </w:r>
      <w:r>
        <w:rPr>
          <w:rFonts w:ascii="Times New Roman" w:hAnsi="Times New Roman" w:cs="Times New Roman"/>
          <w:bCs/>
          <w:i/>
          <w:sz w:val="20"/>
          <w:szCs w:val="20"/>
        </w:rPr>
        <w:t xml:space="preserve">Regarding how to </w:t>
      </w:r>
      <w:r>
        <w:rPr>
          <w:rFonts w:ascii="Times New Roman" w:hAnsi="Times New Roman" w:cs="Times New Roman"/>
          <w:i/>
          <w:sz w:val="20"/>
          <w:szCs w:val="20"/>
        </w:rPr>
        <w:t xml:space="preserve">differentiate the HARQ process ID used for PTP (re)transmission for unicast and PTP retransmission for multicast, </w:t>
      </w:r>
    </w:p>
    <w:p>
      <w:pPr>
        <w:pStyle w:val="114"/>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value of the NDI in the PTP PDCCH for scheduling the retransmission of multicast TB is toggled relative to the NDI in the UE’s latest PTP PDCCH for scheduling a unicast TB with the same HPID.</w:t>
      </w:r>
    </w:p>
    <w:p>
      <w:pPr>
        <w:spacing w:after="180"/>
        <w:rPr>
          <w:rFonts w:ascii="Times New Roman" w:hAnsi="Times New Roman" w:cs="Times New Roman"/>
          <w:b/>
          <w:i/>
          <w:sz w:val="20"/>
          <w:szCs w:val="20"/>
          <w:lang w:val="en-GB"/>
        </w:rPr>
      </w:pPr>
    </w:p>
    <w:p>
      <w:pPr>
        <w:tabs>
          <w:tab w:val="left" w:pos="2160"/>
        </w:tabs>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Initialization of scrambling sequence and DMRS sequence for GC-PDCCH/PDSCH</w:t>
      </w:r>
    </w:p>
    <w:p>
      <w:pPr>
        <w:tabs>
          <w:tab w:val="left" w:pos="2160"/>
        </w:tabs>
        <w:spacing w:after="180"/>
        <w:rPr>
          <w:rFonts w:ascii="Times New Roman" w:hAnsi="Times New Roman" w:cs="Times New Roman"/>
          <w:bCs/>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14</w:t>
      </w:r>
      <w:r>
        <w:rPr>
          <w:rFonts w:ascii="Times New Roman" w:hAnsi="Times New Roman" w:cs="Times New Roman"/>
          <w:bCs/>
          <w:i/>
          <w:sz w:val="20"/>
          <w:szCs w:val="20"/>
          <w:lang w:val="en-GB"/>
        </w:rPr>
        <w:t xml:space="preserve">: </w:t>
      </w:r>
      <w:r>
        <w:rPr>
          <w:rFonts w:hint="eastAsia" w:ascii="Times New Roman" w:hAnsi="Times New Roman" w:cs="Times New Roman"/>
          <w:bCs/>
          <w:i/>
          <w:sz w:val="20"/>
          <w:szCs w:val="20"/>
        </w:rPr>
        <w:t xml:space="preserve">Use </w:t>
      </w:r>
      <w:r>
        <w:rPr>
          <w:rFonts w:ascii="Times New Roman" w:hAnsi="Times New Roman" w:cs="Times New Roman"/>
          <w:bCs/>
          <w:i/>
          <w:sz w:val="20"/>
          <w:szCs w:val="20"/>
        </w:rPr>
        <w:t>‘</w:t>
      </w:r>
      <w:r>
        <w:rPr>
          <w:rFonts w:hint="eastAsia" w:ascii="Times New Roman" w:hAnsi="Times New Roman" w:cs="Times New Roman"/>
          <w:bCs/>
          <w:i/>
          <w:sz w:val="20"/>
          <w:szCs w:val="20"/>
        </w:rPr>
        <w:t>0</w:t>
      </w:r>
      <w:r>
        <w:rPr>
          <w:rFonts w:ascii="Times New Roman" w:hAnsi="Times New Roman" w:cs="Times New Roman"/>
          <w:bCs/>
          <w:i/>
          <w:sz w:val="20"/>
          <w:szCs w:val="20"/>
        </w:rPr>
        <w:t>’</w:t>
      </w:r>
      <w:r>
        <w:rPr>
          <w:rFonts w:hint="eastAsia" w:ascii="Times New Roman" w:hAnsi="Times New Roman" w:cs="Times New Roman"/>
          <w:bCs/>
          <w:i/>
          <w:sz w:val="20"/>
          <w:szCs w:val="20"/>
        </w:rPr>
        <w:t xml:space="preserve"> as the </w:t>
      </w:r>
      <w:r>
        <w:rPr>
          <w:rFonts w:ascii="Times New Roman" w:hAnsi="Times New Roman" w:cs="Times New Roman"/>
          <w:bCs/>
          <w:i/>
          <w:sz w:val="20"/>
          <w:szCs w:val="20"/>
        </w:rPr>
        <w:t xml:space="preserve">value of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m:rPr>
                <m:nor/>
              </m:rPr>
              <w:rPr>
                <w:rFonts w:ascii="Cambria Math" w:hAnsi="Cambria Math" w:cs="Times New Roman"/>
                <w:i/>
                <w:sz w:val="20"/>
                <w:szCs w:val="20"/>
              </w:rPr>
              <m:t>RNTI</m:t>
            </m:r>
            <m:ctrlPr>
              <w:rPr>
                <w:rFonts w:ascii="Cambria Math" w:hAnsi="Cambria Math" w:cs="Times New Roman"/>
                <w:i/>
                <w:sz w:val="20"/>
                <w:szCs w:val="20"/>
              </w:rPr>
            </m:ctrlPr>
          </m:sub>
        </m:sSub>
      </m:oMath>
      <w:r>
        <w:rPr>
          <w:rFonts w:hint="eastAsia" w:ascii="Cambria Math" w:hAnsi="Cambria Math" w:cs="Times New Roman"/>
          <w:i/>
          <w:sz w:val="20"/>
          <w:szCs w:val="20"/>
        </w:rPr>
        <w:t xml:space="preserve"> f</w:t>
      </w:r>
      <w:r>
        <w:rPr>
          <w:rFonts w:ascii="Times New Roman" w:hAnsi="Times New Roman" w:cs="Times New Roman"/>
          <w:i/>
          <w:sz w:val="20"/>
          <w:szCs w:val="20"/>
        </w:rPr>
        <w:t>or initializing scrambling sequence generator for GC-PDCCH with the second DCI format</w:t>
      </w:r>
      <w:r>
        <w:rPr>
          <w:rFonts w:hint="eastAsia" w:ascii="Times New Roman" w:hAnsi="Times New Roman" w:cs="Times New Roman"/>
          <w:i/>
          <w:sz w:val="20"/>
          <w:szCs w:val="20"/>
        </w:rPr>
        <w:t>.</w:t>
      </w:r>
    </w:p>
    <w:p>
      <w:pPr>
        <w:tabs>
          <w:tab w:val="left" w:pos="2160"/>
        </w:tabs>
        <w:spacing w:after="180"/>
        <w:rPr>
          <w:rFonts w:ascii="Times New Roman" w:hAnsi="Times New Roman" w:cs="Times New Roman"/>
          <w:bCs/>
          <w:i/>
          <w:sz w:val="20"/>
          <w:szCs w:val="20"/>
          <w:lang w:val="en-GB"/>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15</w:t>
      </w:r>
      <w:r>
        <w:rPr>
          <w:rFonts w:ascii="Times New Roman" w:hAnsi="Times New Roman" w:cs="Times New Roman"/>
          <w:bCs/>
          <w:i/>
          <w:sz w:val="20"/>
          <w:szCs w:val="20"/>
          <w:lang w:val="en-GB"/>
        </w:rPr>
        <w:t xml:space="preserve">: </w:t>
      </w:r>
    </w:p>
    <w:p>
      <w:pPr>
        <w:spacing w:after="180"/>
        <w:rPr>
          <w:rFonts w:ascii="Times New Roman" w:hAnsi="Times New Roman" w:cs="Times New Roman"/>
          <w:i/>
          <w:iCs/>
          <w:sz w:val="20"/>
          <w:szCs w:val="20"/>
        </w:rPr>
      </w:pPr>
      <w:r>
        <w:rPr>
          <w:rFonts w:ascii="Times New Roman" w:hAnsi="Times New Roman" w:cs="Times New Roman"/>
          <w:i/>
          <w:iCs/>
          <w:sz w:val="20"/>
          <w:szCs w:val="20"/>
        </w:rPr>
        <w:t xml:space="preserve">For initializing scrambling sequence generator for GC-PDCCH with the first DCI format, </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equals the higher layer parameter pdcch-DMRS-ScramblingID if it is configured in </w:t>
      </w:r>
      <w:r>
        <w:rPr>
          <w:rFonts w:ascii="Times New Roman" w:hAnsi="Times New Roman" w:cs="Times New Roman"/>
          <w:i/>
          <w:iCs/>
          <w:sz w:val="20"/>
          <w:szCs w:val="20"/>
          <w:lang w:val="en-US"/>
        </w:rPr>
        <w:t>SIB</w:t>
      </w:r>
      <w:r>
        <w:rPr>
          <w:rFonts w:ascii="Times New Roman" w:hAnsi="Times New Roman" w:cs="Times New Roman"/>
          <w:i/>
          <w:iCs/>
          <w:sz w:val="20"/>
          <w:szCs w:val="20"/>
        </w:rPr>
        <w:t xml:space="preserve"> used for the GC-PDCCH;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m:rPr>
                <m:nor/>
              </m:rPr>
              <w:rPr>
                <w:rFonts w:ascii="Cambria Math" w:hAnsi="Cambria Math" w:cs="Times New Roman"/>
                <w:i/>
                <w:iCs/>
                <w:sz w:val="20"/>
                <w:szCs w:val="20"/>
              </w:rPr>
              <m:t>cell</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otherwise.</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RNTI</m:t>
            </m:r>
            <m:ctrlPr>
              <w:rPr>
                <w:rFonts w:ascii="Cambria Math" w:hAnsi="Cambria Math" w:cs="Times New Roman"/>
                <w:i/>
                <w:iCs/>
                <w:sz w:val="20"/>
                <w:szCs w:val="20"/>
              </w:rPr>
            </m:ctrlPr>
          </m:sub>
        </m:sSub>
      </m:oMath>
      <w:r>
        <w:rPr>
          <w:rFonts w:ascii="Times New Roman" w:hAnsi="Times New Roman" w:eastAsia="宋体" w:cs="Times New Roman"/>
          <w:i/>
          <w:iCs/>
          <w:sz w:val="20"/>
          <w:szCs w:val="20"/>
          <w:lang w:val="en-US"/>
        </w:rPr>
        <w:t xml:space="preserve"> equals 0</w:t>
      </w:r>
      <w:r>
        <w:rPr>
          <w:rFonts w:ascii="Times New Roman" w:hAnsi="Times New Roman" w:cs="Times New Roman"/>
          <w:i/>
          <w:iCs/>
          <w:sz w:val="20"/>
          <w:szCs w:val="20"/>
        </w:rPr>
        <w:t xml:space="preserve">. </w:t>
      </w:r>
    </w:p>
    <w:p>
      <w:pPr>
        <w:spacing w:after="180"/>
        <w:rPr>
          <w:rFonts w:ascii="Times New Roman" w:hAnsi="Times New Roman" w:cs="Times New Roman"/>
          <w:i/>
          <w:iCs/>
          <w:sz w:val="20"/>
          <w:szCs w:val="20"/>
        </w:rPr>
      </w:pPr>
      <w:r>
        <w:rPr>
          <w:rFonts w:ascii="Times New Roman" w:hAnsi="Times New Roman" w:cs="Times New Roman"/>
          <w:i/>
          <w:iCs/>
          <w:sz w:val="20"/>
          <w:szCs w:val="20"/>
        </w:rPr>
        <w:t xml:space="preserve">For initializing scrambling sequence generator for GC-PDSCH scheduled by the first DCI format for multicast received in Type-x CSS, </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equals the higher layer parameter dataScramblingIdentityPDSCH if it is configured in </w:t>
      </w:r>
      <w:r>
        <w:rPr>
          <w:rFonts w:ascii="Times New Roman" w:hAnsi="Times New Roman" w:cs="Times New Roman"/>
          <w:i/>
          <w:iCs/>
          <w:sz w:val="20"/>
          <w:szCs w:val="20"/>
          <w:lang w:val="en-US"/>
        </w:rPr>
        <w:t>SIB</w:t>
      </w:r>
      <w:r>
        <w:rPr>
          <w:rFonts w:ascii="Times New Roman" w:hAnsi="Times New Roman" w:cs="Times New Roman"/>
          <w:i/>
          <w:iCs/>
          <w:sz w:val="20"/>
          <w:szCs w:val="20"/>
        </w:rPr>
        <w:t xml:space="preserve"> used for GC-PDSCH and the RNTI equals the G-RNTI or G-CS-RNTI;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m:rPr>
                <m:nor/>
              </m:rPr>
              <w:rPr>
                <w:rFonts w:ascii="Cambria Math" w:hAnsi="Cambria Math" w:cs="Times New Roman"/>
                <w:i/>
                <w:iCs/>
                <w:sz w:val="20"/>
                <w:szCs w:val="20"/>
              </w:rPr>
              <m:t>cell</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otherwise.</w:t>
      </w:r>
    </w:p>
    <w:p>
      <w:pPr>
        <w:pStyle w:val="114"/>
        <w:numPr>
          <w:ilvl w:val="0"/>
          <w:numId w:val="19"/>
        </w:numPr>
        <w:spacing w:after="180"/>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RNTI</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corresponds to the RNTI associated with the GC-PDSCH transmission (i.e., the G-RNTI used by the scheduling GC-PDCCH, or the G-CS-RNTI used by the SPS GC-PDSCH activation PDCCH)</w:t>
      </w:r>
    </w:p>
    <w:p>
      <w:pPr>
        <w:spacing w:after="180"/>
        <w:rPr>
          <w:rFonts w:ascii="Times New Roman" w:hAnsi="Times New Roman" w:cs="Times New Roman"/>
          <w:i/>
          <w:iCs/>
          <w:sz w:val="20"/>
          <w:szCs w:val="20"/>
        </w:rPr>
      </w:pPr>
      <w:r>
        <w:rPr>
          <w:rFonts w:ascii="Times New Roman" w:hAnsi="Times New Roman" w:cs="Times New Roman"/>
          <w:i/>
          <w:iCs/>
          <w:sz w:val="20"/>
          <w:szCs w:val="20"/>
        </w:rPr>
        <w:t xml:space="preserve">For initializing sequence generator for DMRS of GC-PDCCH with the first DCI format received in Type-x CSS, </w:t>
      </w:r>
    </w:p>
    <w:p>
      <w:pPr>
        <w:numPr>
          <w:ilvl w:val="0"/>
          <w:numId w:val="19"/>
        </w:numPr>
        <w:spacing w:after="180"/>
        <w:jc w:val="left"/>
        <w:rPr>
          <w:rFonts w:ascii="Times New Roman" w:hAnsi="Times New Roman" w:cs="Times New Roman"/>
          <w:i/>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oMath>
      <w:r>
        <w:rPr>
          <w:rFonts w:ascii="Times New Roman" w:hAnsi="Times New Roman" w:cs="Times New Roman"/>
          <w:i/>
          <w:iCs/>
          <w:sz w:val="20"/>
          <w:szCs w:val="20"/>
        </w:rPr>
        <w:t xml:space="preserve"> equals the higher layer parameter </w:t>
      </w:r>
      <w:r>
        <w:rPr>
          <w:rFonts w:ascii="Times New Roman" w:hAnsi="Times New Roman" w:cs="Times New Roman"/>
          <w:i/>
          <w:iCs/>
          <w:color w:val="000000"/>
          <w:sz w:val="20"/>
          <w:szCs w:val="20"/>
        </w:rPr>
        <w:t>pdcch-DMRS-ScramblingID</w:t>
      </w:r>
      <w:r>
        <w:rPr>
          <w:rFonts w:ascii="Times New Roman" w:hAnsi="Times New Roman" w:cs="Times New Roman"/>
          <w:i/>
          <w:iCs/>
          <w:sz w:val="20"/>
          <w:szCs w:val="20"/>
        </w:rPr>
        <w:t xml:space="preserve"> if it is configured in SIB used for the GC-PDCCH;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m:rPr>
                <m:nor/>
              </m:rPr>
              <w:rPr>
                <w:rFonts w:ascii="Cambria Math" w:hAnsi="Cambria Math" w:cs="Times New Roman"/>
                <w:i/>
                <w:iCs/>
                <w:sz w:val="20"/>
                <w:szCs w:val="20"/>
              </w:rPr>
              <m:t>cell</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otherwise. </w:t>
      </w:r>
    </w:p>
    <w:p>
      <w:pPr>
        <w:spacing w:after="180"/>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For initializing sequence generator for DMRS of GC-PDSCH, </w:t>
      </w:r>
    </w:p>
    <w:p>
      <w:pPr>
        <w:pStyle w:val="160"/>
        <w:numPr>
          <w:ilvl w:val="0"/>
          <w:numId w:val="19"/>
        </w:numPr>
        <w:spacing w:before="0" w:beforeAutospacing="0" w:after="180" w:afterAutospacing="0"/>
        <w:rPr>
          <w:rFonts w:ascii="Times New Roman" w:hAnsi="Times New Roman" w:cs="Times New Roman"/>
          <w:i/>
          <w:iCs/>
          <w:color w:val="000000"/>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w:rPr>
                <w:rFonts w:ascii="Cambria Math" w:hAnsi="Cambria Math" w:cs="Times New Roman"/>
                <w:sz w:val="20"/>
                <w:szCs w:val="20"/>
              </w:rPr>
              <m:t>0</m:t>
            </m:r>
            <m:ctrlPr>
              <w:rPr>
                <w:rFonts w:ascii="Cambria Math" w:hAnsi="Cambria Math" w:cs="Times New Roman"/>
                <w:i/>
                <w:iCs/>
                <w:sz w:val="20"/>
                <w:szCs w:val="20"/>
              </w:rPr>
            </m:ctrlPr>
          </m:sup>
        </m:sSubSup>
        <m:r>
          <w:rPr>
            <w:rFonts w:ascii="Cambria Math" w:hAnsi="Cambria Math" w:cs="Times New Roman"/>
            <w:sz w:val="20"/>
            <w:szCs w:val="20"/>
          </w:rPr>
          <m:t xml:space="preserve"> </m:t>
        </m:r>
      </m:oMath>
      <w:r>
        <w:rPr>
          <w:rFonts w:ascii="Times New Roman" w:hAnsi="Times New Roman" w:cs="Times New Roman"/>
          <w:i/>
          <w:iCs/>
          <w:color w:val="000000"/>
          <w:sz w:val="20"/>
          <w:szCs w:val="20"/>
          <w:lang w:val="en-GB"/>
        </w:rPr>
        <w:t xml:space="preserve">and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w:rPr>
                <w:rFonts w:ascii="Cambria Math" w:hAnsi="Cambria Math" w:cs="Times New Roman"/>
                <w:sz w:val="20"/>
                <w:szCs w:val="20"/>
              </w:rPr>
              <m:t>1</m:t>
            </m:r>
            <m:ctrlPr>
              <w:rPr>
                <w:rFonts w:ascii="Cambria Math" w:hAnsi="Cambria Math" w:cs="Times New Roman"/>
                <w:i/>
                <w:iCs/>
                <w:sz w:val="20"/>
                <w:szCs w:val="20"/>
              </w:rPr>
            </m:ctrlPr>
          </m:sup>
        </m:sSubSup>
        <m:r>
          <w:rPr>
            <w:rFonts w:ascii="Cambria Math" w:hAnsi="Cambria Math" w:cs="Times New Roman"/>
            <w:sz w:val="20"/>
            <w:szCs w:val="20"/>
          </w:rPr>
          <m:t xml:space="preserve"> </m:t>
        </m:r>
      </m:oMath>
      <w:r>
        <w:rPr>
          <w:rFonts w:ascii="Times New Roman" w:hAnsi="Times New Roman" w:cs="Times New Roman"/>
          <w:i/>
          <w:iCs/>
          <w:color w:val="000000"/>
          <w:sz w:val="20"/>
          <w:szCs w:val="20"/>
          <w:lang w:val="en-GB"/>
        </w:rPr>
        <w:t>are given by the higher-layer parameters</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scramblingID0</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and</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scramblingID1, respectively, in the</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DMRS-DownlinkConfig</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IE if provided in PDSCH-Config in a CFR used for GC-PDSCH and the GC-PDSCH is scheduled by GC-PDCCH using the second DCI format</w:t>
      </w:r>
    </w:p>
    <w:p>
      <w:pPr>
        <w:pStyle w:val="160"/>
        <w:numPr>
          <w:ilvl w:val="0"/>
          <w:numId w:val="19"/>
        </w:numPr>
        <w:spacing w:before="0" w:beforeAutospacing="0" w:after="180" w:afterAutospacing="0"/>
        <w:rPr>
          <w:rFonts w:ascii="Times New Roman" w:hAnsi="Times New Roman" w:cs="Times New Roman"/>
          <w:i/>
          <w:iCs/>
          <w:color w:val="000000"/>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ID</m:t>
            </m:r>
            <m:ctrlPr>
              <w:rPr>
                <w:rFonts w:ascii="Cambria Math" w:hAnsi="Cambria Math" w:cs="Times New Roman"/>
                <w:i/>
                <w:iCs/>
                <w:sz w:val="20"/>
                <w:szCs w:val="20"/>
              </w:rPr>
            </m:ctrlPr>
          </m:sub>
          <m:sup>
            <m:r>
              <w:rPr>
                <w:rFonts w:ascii="Cambria Math" w:hAnsi="Cambria Math" w:cs="Times New Roman"/>
                <w:sz w:val="20"/>
                <w:szCs w:val="20"/>
              </w:rPr>
              <m:t>0</m:t>
            </m:r>
            <m:ctrlPr>
              <w:rPr>
                <w:rFonts w:ascii="Cambria Math" w:hAnsi="Cambria Math" w:cs="Times New Roman"/>
                <w:i/>
                <w:iCs/>
                <w:sz w:val="20"/>
                <w:szCs w:val="20"/>
              </w:rPr>
            </m:ctrlPr>
          </m:sup>
        </m:sSubSup>
      </m:oMath>
      <w:r>
        <w:rPr>
          <w:rFonts w:ascii="Times New Roman" w:hAnsi="Times New Roman" w:eastAsia="宋体" w:cs="Times New Roman"/>
          <w:i/>
          <w:iCs/>
          <w:sz w:val="20"/>
          <w:szCs w:val="20"/>
          <w:lang w:eastAsia="zh-CN"/>
        </w:rPr>
        <w:t xml:space="preserve"> </w:t>
      </w:r>
      <w:r>
        <w:rPr>
          <w:rFonts w:ascii="Times New Roman" w:hAnsi="Times New Roman" w:cs="Times New Roman"/>
          <w:i/>
          <w:iCs/>
          <w:color w:val="000000"/>
          <w:sz w:val="20"/>
          <w:szCs w:val="20"/>
          <w:lang w:val="en-GB"/>
        </w:rPr>
        <w:t>is given by the higher-layer parameter</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scramblingID0</w:t>
      </w:r>
      <w:r>
        <w:rPr>
          <w:rFonts w:ascii="Times New Roman" w:hAnsi="Times New Roman" w:eastAsia="宋体" w:cs="Times New Roman"/>
          <w:i/>
          <w:iCs/>
          <w:color w:val="000000"/>
          <w:sz w:val="20"/>
          <w:szCs w:val="20"/>
          <w:lang w:eastAsia="zh-CN"/>
        </w:rPr>
        <w:t xml:space="preserve"> </w:t>
      </w:r>
      <w:r>
        <w:rPr>
          <w:rFonts w:ascii="Times New Roman" w:hAnsi="Times New Roman" w:cs="Times New Roman"/>
          <w:i/>
          <w:iCs/>
          <w:color w:val="000000"/>
          <w:sz w:val="20"/>
          <w:szCs w:val="20"/>
          <w:lang w:val="en-GB"/>
        </w:rPr>
        <w:t xml:space="preserve">if provided in </w:t>
      </w:r>
      <w:r>
        <w:rPr>
          <w:rFonts w:ascii="Times New Roman" w:hAnsi="Times New Roman" w:eastAsia="宋体" w:cs="Times New Roman"/>
          <w:i/>
          <w:iCs/>
          <w:color w:val="000000"/>
          <w:sz w:val="20"/>
          <w:szCs w:val="20"/>
          <w:lang w:eastAsia="zh-CN"/>
        </w:rPr>
        <w:t>SIB</w:t>
      </w:r>
      <w:r>
        <w:rPr>
          <w:rFonts w:ascii="Times New Roman" w:hAnsi="Times New Roman" w:cs="Times New Roman"/>
          <w:i/>
          <w:iCs/>
          <w:color w:val="000000"/>
          <w:sz w:val="20"/>
          <w:szCs w:val="20"/>
          <w:lang w:val="en-GB"/>
        </w:rPr>
        <w:t xml:space="preserve"> used for GC-PDSCH and the GC-PDSCH is scheduled by GC-PDCCH using the first DCI format;</w:t>
      </w:r>
    </w:p>
    <w:p>
      <w:pPr>
        <w:pStyle w:val="160"/>
        <w:numPr>
          <w:ilvl w:val="0"/>
          <w:numId w:val="19"/>
        </w:numPr>
        <w:spacing w:before="0" w:beforeAutospacing="0" w:after="180" w:afterAutospacing="0"/>
        <w:rPr>
          <w:rFonts w:ascii="Times New Roman" w:hAnsi="Times New Roman" w:cs="Times New Roman"/>
          <w:i/>
          <w:iCs/>
          <w:color w:val="000000"/>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ID</m:t>
            </m:r>
            <m:ctrlPr>
              <w:rPr>
                <w:rFonts w:ascii="Cambria Math" w:hAnsi="Cambria Math" w:cs="Times New Roman"/>
                <w:i/>
                <w:iCs/>
                <w:sz w:val="20"/>
                <w:szCs w:val="20"/>
              </w:rPr>
            </m:ctrlPr>
          </m:sub>
          <m:sup>
            <m:sSubSup>
              <m:sSubSupPr>
                <m:ctrlPr>
                  <w:rPr>
                    <w:rFonts w:ascii="Cambria Math" w:hAnsi="Cambria Math" w:cs="Times New Roman"/>
                    <w:i/>
                    <w:iCs/>
                    <w:sz w:val="20"/>
                    <w:szCs w:val="20"/>
                  </w:rPr>
                </m:ctrlPr>
              </m:sSubSupPr>
              <m:e>
                <m:acc>
                  <m:accPr>
                    <m:chr m:val="̅"/>
                    <m:ctrlPr>
                      <w:rPr>
                        <w:rFonts w:ascii="Cambria Math" w:hAnsi="Cambria Math" w:cs="Times New Roman"/>
                        <w:i/>
                        <w:iCs/>
                        <w:sz w:val="20"/>
                        <w:szCs w:val="20"/>
                      </w:rPr>
                    </m:ctrlPr>
                  </m:accPr>
                  <m:e>
                    <m:r>
                      <w:rPr>
                        <w:rFonts w:ascii="Cambria Math" w:hAnsi="Cambria Math" w:cs="Times New Roman"/>
                        <w:sz w:val="20"/>
                        <w:szCs w:val="20"/>
                      </w:rPr>
                      <m:t>n</m:t>
                    </m:r>
                    <m:ctrlPr>
                      <w:rPr>
                        <w:rFonts w:ascii="Cambria Math" w:hAnsi="Cambria Math" w:cs="Times New Roman"/>
                        <w:i/>
                        <w:iCs/>
                        <w:sz w:val="20"/>
                        <w:szCs w:val="20"/>
                      </w:rPr>
                    </m:ctrlPr>
                  </m:e>
                </m:acc>
                <m:ctrlPr>
                  <w:rPr>
                    <w:rFonts w:ascii="Cambria Math" w:hAnsi="Cambria Math" w:cs="Times New Roman"/>
                    <w:i/>
                    <w:iCs/>
                    <w:sz w:val="20"/>
                    <w:szCs w:val="20"/>
                  </w:rPr>
                </m:ctrlPr>
              </m:e>
              <m:sub>
                <m:r>
                  <w:rPr>
                    <w:rFonts w:ascii="Cambria Math" w:hAnsi="Cambria Math" w:cs="Times New Roman"/>
                    <w:sz w:val="20"/>
                    <w:szCs w:val="20"/>
                  </w:rPr>
                  <m:t>SCID</m:t>
                </m:r>
                <m:ctrlPr>
                  <w:rPr>
                    <w:rFonts w:ascii="Cambria Math" w:hAnsi="Cambria Math" w:cs="Times New Roman"/>
                    <w:i/>
                    <w:iCs/>
                    <w:sz w:val="20"/>
                    <w:szCs w:val="20"/>
                  </w:rPr>
                </m:ctrlPr>
              </m:sub>
              <m:sup>
                <m:acc>
                  <m:accPr>
                    <m:chr m:val="̅"/>
                    <m:ctrlPr>
                      <w:rPr>
                        <w:rFonts w:ascii="Cambria Math" w:hAnsi="Cambria Math" w:cs="Times New Roman"/>
                        <w:i/>
                        <w:iCs/>
                        <w:sz w:val="20"/>
                        <w:szCs w:val="20"/>
                      </w:rPr>
                    </m:ctrlPr>
                  </m:accPr>
                  <m:e>
                    <m:r>
                      <w:rPr>
                        <w:rFonts w:ascii="Cambria Math" w:hAnsi="Cambria Math" w:cs="Times New Roman"/>
                        <w:sz w:val="20"/>
                        <w:szCs w:val="20"/>
                      </w:rPr>
                      <m:t>λ</m:t>
                    </m:r>
                    <m:ctrlPr>
                      <w:rPr>
                        <w:rFonts w:ascii="Cambria Math" w:hAnsi="Cambria Math" w:cs="Times New Roman"/>
                        <w:i/>
                        <w:iCs/>
                        <w:sz w:val="20"/>
                        <w:szCs w:val="20"/>
                      </w:rPr>
                    </m:ctrlPr>
                  </m:e>
                </m:acc>
                <m:ctrlPr>
                  <w:rPr>
                    <w:rFonts w:ascii="Cambria Math" w:hAnsi="Cambria Math" w:cs="Times New Roman"/>
                    <w:i/>
                    <w:iCs/>
                    <w:sz w:val="20"/>
                    <w:szCs w:val="20"/>
                  </w:rPr>
                </m:ctrlPr>
              </m:sup>
            </m:sSubSup>
            <m:ctrlPr>
              <w:rPr>
                <w:rFonts w:ascii="Cambria Math" w:hAnsi="Cambria Math" w:cs="Times New Roman"/>
                <w:i/>
                <w:iCs/>
                <w:sz w:val="20"/>
                <w:szCs w:val="20"/>
              </w:rPr>
            </m:ctrlPr>
          </m:sup>
        </m:sSubSup>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ctrlPr>
              <w:rPr>
                <w:rFonts w:ascii="Cambria Math" w:hAnsi="Cambria Math" w:cs="Times New Roman"/>
                <w:i/>
                <w:iCs/>
                <w:sz w:val="20"/>
                <w:szCs w:val="20"/>
              </w:rPr>
            </m:ctrlPr>
          </m:e>
          <m:sub>
            <m:r>
              <w:rPr>
                <w:rFonts w:ascii="Cambria Math" w:hAnsi="Cambria Math" w:cs="Times New Roman"/>
                <w:sz w:val="20"/>
                <w:szCs w:val="20"/>
              </w:rPr>
              <m:t>ID</m:t>
            </m:r>
            <m:ctrlPr>
              <w:rPr>
                <w:rFonts w:ascii="Cambria Math" w:hAnsi="Cambria Math" w:cs="Times New Roman"/>
                <w:i/>
                <w:iCs/>
                <w:sz w:val="20"/>
                <w:szCs w:val="20"/>
              </w:rPr>
            </m:ctrlPr>
          </m:sub>
          <m:sup>
            <m:r>
              <w:rPr>
                <w:rFonts w:ascii="Cambria Math" w:hAnsi="Cambria Math" w:cs="Times New Roman"/>
                <w:sz w:val="20"/>
                <w:szCs w:val="20"/>
              </w:rPr>
              <m:t>cell</m:t>
            </m:r>
            <m:ctrlPr>
              <w:rPr>
                <w:rFonts w:ascii="Cambria Math" w:hAnsi="Cambria Math" w:cs="Times New Roman"/>
                <w:i/>
                <w:iCs/>
                <w:sz w:val="20"/>
                <w:szCs w:val="20"/>
              </w:rPr>
            </m:ctrlPr>
          </m:sup>
        </m:sSubSup>
        <m:r>
          <w:rPr>
            <w:rFonts w:ascii="Cambria Math" w:hAnsi="Cambria Math" w:cs="Times New Roman"/>
            <w:sz w:val="20"/>
            <w:szCs w:val="20"/>
          </w:rPr>
          <m:t xml:space="preserve"> </m:t>
        </m:r>
      </m:oMath>
      <w:r>
        <w:rPr>
          <w:rFonts w:ascii="Times New Roman" w:hAnsi="Times New Roman" w:cs="Times New Roman"/>
          <w:i/>
          <w:iCs/>
          <w:sz w:val="20"/>
          <w:szCs w:val="20"/>
        </w:rPr>
        <w:t xml:space="preserve"> otherwise</w:t>
      </w:r>
      <w:r>
        <w:rPr>
          <w:rFonts w:ascii="Times New Roman" w:hAnsi="Times New Roman" w:cs="Times New Roman"/>
          <w:i/>
          <w:iCs/>
          <w:color w:val="000000"/>
          <w:sz w:val="20"/>
          <w:szCs w:val="20"/>
          <w:lang w:val="en-GB"/>
        </w:rPr>
        <w:t>;</w:t>
      </w:r>
    </w:p>
    <w:p>
      <w:pPr>
        <w:pStyle w:val="160"/>
        <w:numPr>
          <w:ilvl w:val="0"/>
          <w:numId w:val="19"/>
        </w:numPr>
        <w:spacing w:before="0" w:beforeAutospacing="0" w:after="180" w:afterAutospacing="0"/>
        <w:rPr>
          <w:rFonts w:ascii="Times New Roman" w:hAnsi="Times New Roman" w:cs="Times New Roman"/>
          <w:i/>
          <w:iCs/>
          <w:color w:val="000000"/>
          <w:sz w:val="20"/>
          <w:szCs w:val="20"/>
        </w:rPr>
      </w:pPr>
      <w:r>
        <w:rPr>
          <w:rFonts w:ascii="Times New Roman" w:hAnsi="Times New Roman" w:cs="Times New Roman"/>
          <w:i/>
          <w:iCs/>
          <w:sz w:val="20"/>
          <w:szCs w:val="20"/>
        </w:rPr>
        <w:t xml:space="preserve">FFS: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SCID</m:t>
            </m:r>
            <m:ctrlPr>
              <w:rPr>
                <w:rFonts w:ascii="Cambria Math" w:hAnsi="Cambria Math" w:cs="Times New Roman"/>
                <w:i/>
                <w:iCs/>
                <w:sz w:val="20"/>
                <w:szCs w:val="20"/>
              </w:rPr>
            </m:ctrlP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0, 1</m:t>
            </m:r>
            <m:ctrlPr>
              <w:rPr>
                <w:rFonts w:ascii="Cambria Math" w:hAnsi="Cambria Math" w:cs="Times New Roman"/>
                <w:i/>
                <w:iCs/>
                <w:sz w:val="20"/>
                <w:szCs w:val="20"/>
              </w:rPr>
            </m:ctrlPr>
          </m:e>
        </m:d>
      </m:oMath>
      <w:r>
        <w:rPr>
          <w:rFonts w:ascii="Times New Roman" w:hAnsi="Times New Roman" w:cs="Times New Roman"/>
          <w:i/>
          <w:iCs/>
          <w:sz w:val="20"/>
          <w:szCs w:val="20"/>
        </w:rPr>
        <w:t xml:space="preserve"> is given by the DM-RS sequence initialization field, if present, in the DCI associated with the GC-PDSCH transmission if </w:t>
      </w:r>
      <w:r>
        <w:rPr>
          <w:rFonts w:ascii="Times New Roman" w:hAnsi="Times New Roman" w:cs="Times New Roman"/>
          <w:i/>
          <w:iCs/>
          <w:color w:val="000000"/>
          <w:sz w:val="20"/>
          <w:szCs w:val="20"/>
          <w:lang w:val="en-GB"/>
        </w:rPr>
        <w:t>second DCI format</w:t>
      </w:r>
      <w:r>
        <w:rPr>
          <w:rFonts w:ascii="Times New Roman" w:hAnsi="Times New Roman" w:cs="Times New Roman"/>
          <w:i/>
          <w:iCs/>
          <w:sz w:val="20"/>
          <w:szCs w:val="20"/>
        </w:rPr>
        <w:t xml:space="preserve"> is used, otherwise </w:t>
      </w:r>
      <m:oMath>
        <m:sSub>
          <m:sSubPr>
            <m:ctrlPr>
              <w:rPr>
                <w:rFonts w:ascii="Cambria Math" w:hAnsi="Cambria Math" w:cs="Times New Roman"/>
                <w:i/>
                <w:iCs/>
                <w:sz w:val="20"/>
                <w:szCs w:val="20"/>
              </w:rPr>
            </m:ctrlPr>
          </m:sSubPr>
          <m:e>
            <m:r>
              <w:rPr>
                <w:rFonts w:ascii="Cambria Math" w:hAnsi="Cambria Math" w:cs="Times New Roman"/>
                <w:sz w:val="20"/>
                <w:szCs w:val="20"/>
              </w:rPr>
              <m:t>n</m:t>
            </m:r>
            <m:ctrlPr>
              <w:rPr>
                <w:rFonts w:ascii="Cambria Math" w:hAnsi="Cambria Math" w:cs="Times New Roman"/>
                <w:i/>
                <w:iCs/>
                <w:sz w:val="20"/>
                <w:szCs w:val="20"/>
              </w:rPr>
            </m:ctrlPr>
          </m:e>
          <m:sub>
            <m:r>
              <m:rPr>
                <m:nor/>
              </m:rPr>
              <w:rPr>
                <w:rFonts w:ascii="Cambria Math" w:hAnsi="Cambria Math" w:cs="Times New Roman"/>
                <w:i/>
                <w:iCs/>
                <w:sz w:val="20"/>
                <w:szCs w:val="20"/>
              </w:rPr>
              <m:t>SCID</m:t>
            </m:r>
            <m:ctrlPr>
              <w:rPr>
                <w:rFonts w:ascii="Cambria Math" w:hAnsi="Cambria Math" w:cs="Times New Roman"/>
                <w:i/>
                <w:iCs/>
                <w:sz w:val="20"/>
                <w:szCs w:val="20"/>
              </w:rPr>
            </m:ctrlPr>
          </m:sub>
        </m:sSub>
        <m:r>
          <w:rPr>
            <w:rFonts w:ascii="Cambria Math" w:hAnsi="Cambria Math" w:cs="Times New Roman"/>
            <w:sz w:val="20"/>
            <w:szCs w:val="20"/>
          </w:rPr>
          <m:t>=0</m:t>
        </m:r>
      </m:oMath>
      <w:r>
        <w:rPr>
          <w:rFonts w:ascii="Times New Roman" w:hAnsi="Times New Roman" w:cs="Times New Roman"/>
          <w:i/>
          <w:iCs/>
          <w:sz w:val="20"/>
          <w:szCs w:val="20"/>
        </w:rPr>
        <w:t>.</w:t>
      </w:r>
    </w:p>
    <w:p>
      <w:pPr>
        <w:spacing w:after="180"/>
        <w:rPr>
          <w:rFonts w:ascii="Times New Roman" w:hAnsi="Times New Roman" w:cs="Times New Roman"/>
          <w:b/>
          <w:i/>
          <w:sz w:val="20"/>
          <w:szCs w:val="20"/>
          <w:lang w:val="en-GB"/>
        </w:rPr>
      </w:pPr>
    </w:p>
    <w:p>
      <w:pPr>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SPS-based MBS transmission</w:t>
      </w:r>
    </w:p>
    <w:p>
      <w:pPr>
        <w:spacing w:after="180"/>
        <w:rPr>
          <w:rFonts w:ascii="Times New Roman" w:hAnsi="Times New Roman" w:cs="Times New Roman"/>
          <w:i/>
          <w:iCs/>
          <w:sz w:val="20"/>
          <w:szCs w:val="20"/>
        </w:rPr>
      </w:pPr>
      <w:r>
        <w:rPr>
          <w:rFonts w:hint="eastAsia" w:ascii="Times New Roman" w:hAnsi="Times New Roman" w:cs="Times New Roman"/>
          <w:b/>
          <w:i/>
          <w:iCs/>
          <w:sz w:val="20"/>
          <w:szCs w:val="20"/>
        </w:rPr>
        <w:t>P</w:t>
      </w:r>
      <w:r>
        <w:rPr>
          <w:rFonts w:ascii="Times New Roman" w:hAnsi="Times New Roman" w:cs="Times New Roman"/>
          <w:b/>
          <w:i/>
          <w:iCs/>
          <w:sz w:val="20"/>
          <w:szCs w:val="20"/>
        </w:rPr>
        <w:t>roposal 1</w:t>
      </w:r>
      <w:r>
        <w:rPr>
          <w:rFonts w:hint="eastAsia" w:ascii="Times New Roman" w:hAnsi="Times New Roman" w:cs="Times New Roman"/>
          <w:b/>
          <w:i/>
          <w:iCs/>
          <w:sz w:val="20"/>
          <w:szCs w:val="20"/>
        </w:rPr>
        <w:t>6</w:t>
      </w:r>
      <w:r>
        <w:rPr>
          <w:rFonts w:ascii="Times New Roman" w:hAnsi="Times New Roman" w:cs="Times New Roman"/>
          <w:i/>
          <w:iCs/>
          <w:sz w:val="20"/>
          <w:szCs w:val="20"/>
        </w:rPr>
        <w:t xml:space="preserve">: Multiple G-CS-RNTIs can associate with the same SPS-config. </w:t>
      </w:r>
    </w:p>
    <w:p>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t xml:space="preserve">Proposal </w:t>
      </w:r>
      <w:r>
        <w:rPr>
          <w:rFonts w:hint="eastAsia" w:ascii="Times New Roman" w:hAnsi="Times New Roman" w:cs="Times New Roman"/>
          <w:b/>
          <w:i/>
          <w:sz w:val="20"/>
          <w:szCs w:val="20"/>
        </w:rPr>
        <w:t>17</w:t>
      </w:r>
      <w:r>
        <w:rPr>
          <w:rFonts w:ascii="Times New Roman" w:hAnsi="Times New Roman" w:cs="Times New Roman"/>
          <w:i/>
          <w:sz w:val="20"/>
          <w:szCs w:val="20"/>
          <w:lang w:val="en-GB"/>
        </w:rPr>
        <w:t xml:space="preserve">: </w:t>
      </w:r>
      <w:r>
        <w:rPr>
          <w:rFonts w:ascii="Times New Roman" w:hAnsi="Times New Roman" w:cs="Times New Roman"/>
          <w:i/>
          <w:sz w:val="20"/>
          <w:szCs w:val="20"/>
        </w:rPr>
        <w:t>UE-specific PDCCH is not needed for activation/deactivation of an SPS GC-PDSCH</w:t>
      </w:r>
      <w:r>
        <w:t xml:space="preserve"> </w:t>
      </w:r>
      <w:r>
        <w:rPr>
          <w:rFonts w:ascii="Times New Roman" w:hAnsi="Times New Roman" w:cs="Times New Roman"/>
          <w:i/>
          <w:sz w:val="20"/>
          <w:szCs w:val="20"/>
        </w:rPr>
        <w:t xml:space="preserve">given that group-common PDSCH has already been supported. </w:t>
      </w:r>
    </w:p>
    <w:p>
      <w:pPr>
        <w:spacing w:after="180"/>
        <w:rPr>
          <w:rFonts w:ascii="Times New Roman" w:hAnsi="Times New Roman" w:cs="Times New Roman"/>
          <w:i/>
          <w:sz w:val="20"/>
          <w:szCs w:val="20"/>
        </w:rPr>
      </w:pPr>
      <w:r>
        <w:rPr>
          <w:rFonts w:ascii="Times New Roman" w:hAnsi="Times New Roman" w:cs="Times New Roman"/>
          <w:b/>
          <w:i/>
          <w:sz w:val="20"/>
          <w:szCs w:val="20"/>
        </w:rPr>
        <w:t xml:space="preserve">Observation </w:t>
      </w:r>
      <w:r>
        <w:rPr>
          <w:rFonts w:hint="eastAsia" w:ascii="Times New Roman" w:hAnsi="Times New Roman" w:cs="Times New Roman"/>
          <w:b/>
          <w:i/>
          <w:sz w:val="20"/>
          <w:szCs w:val="20"/>
        </w:rPr>
        <w:t>2</w:t>
      </w:r>
      <w:r>
        <w:rPr>
          <w:rFonts w:ascii="Times New Roman" w:hAnsi="Times New Roman" w:cs="Times New Roman"/>
          <w:i/>
          <w:sz w:val="20"/>
          <w:szCs w:val="20"/>
        </w:rPr>
        <w:t>: Compared with retransmission of activation command via DCI, MAC-CE scheme introduces a larger indication delay and additional scheduling restriction.</w:t>
      </w:r>
    </w:p>
    <w:p>
      <w:pPr>
        <w:tabs>
          <w:tab w:val="left" w:pos="2160"/>
        </w:tabs>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8</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NR MBS supports to retransmit the activation command via GC-PDCCH. </w:t>
      </w:r>
    </w:p>
    <w:p>
      <w:pPr>
        <w:spacing w:after="180"/>
        <w:rPr>
          <w:rFonts w:ascii="Times New Roman" w:hAnsi="Times New Roman" w:cs="Times New Roman"/>
          <w:b/>
          <w:i/>
          <w:sz w:val="20"/>
          <w:szCs w:val="21"/>
          <w:lang w:val="en-GB"/>
        </w:rPr>
      </w:pPr>
    </w:p>
    <w:p>
      <w:pPr>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Enhancement of Broadcast for RRC_CONNECTED UEs</w:t>
      </w:r>
    </w:p>
    <w:p>
      <w:pPr>
        <w:spacing w:after="180"/>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hint="eastAsia" w:ascii="Times New Roman" w:hAnsi="Times New Roman" w:cs="Times New Roman"/>
          <w:b/>
          <w:i/>
          <w:sz w:val="20"/>
          <w:szCs w:val="20"/>
        </w:rPr>
        <w:t>9</w:t>
      </w:r>
      <w:r>
        <w:rPr>
          <w:rFonts w:ascii="Times New Roman" w:hAnsi="Times New Roman" w:cs="Times New Roman"/>
          <w:i/>
          <w:sz w:val="20"/>
          <w:szCs w:val="20"/>
          <w:lang w:val="en-GB"/>
        </w:rPr>
        <w:t xml:space="preserve">: RAN1 further studies whether to support HARQ-ACK </w:t>
      </w:r>
      <w:r>
        <w:rPr>
          <w:rFonts w:ascii="Times New Roman" w:hAnsi="Times New Roman" w:cs="Times New Roman"/>
          <w:i/>
          <w:sz w:val="20"/>
          <w:szCs w:val="20"/>
        </w:rPr>
        <w:t xml:space="preserve">feedback </w:t>
      </w:r>
      <w:r>
        <w:rPr>
          <w:rFonts w:ascii="Times New Roman" w:hAnsi="Times New Roman" w:cs="Times New Roman"/>
          <w:i/>
          <w:sz w:val="20"/>
          <w:szCs w:val="20"/>
          <w:lang w:val="en-GB"/>
        </w:rPr>
        <w:t>for broadcast service for UEs under RRC_CONNECTED state.</w:t>
      </w:r>
    </w:p>
    <w:p>
      <w:pPr>
        <w:spacing w:after="180"/>
        <w:rPr>
          <w:rFonts w:ascii="Times New Roman" w:hAnsi="Times New Roman" w:cs="Times New Roman"/>
          <w:i/>
          <w:sz w:val="20"/>
          <w:szCs w:val="21"/>
        </w:rPr>
      </w:pPr>
    </w:p>
    <w:p>
      <w:pPr>
        <w:pStyle w:val="2"/>
        <w:rPr>
          <w:lang w:eastAsia="zh-CN"/>
        </w:rPr>
      </w:pPr>
      <w:r>
        <w:rPr>
          <w:rFonts w:hint="eastAsia"/>
          <w:lang w:eastAsia="zh-CN"/>
        </w:rPr>
        <w:t>R</w:t>
      </w:r>
      <w:r>
        <w:rPr>
          <w:lang w:eastAsia="zh-CN"/>
        </w:rPr>
        <w:t>eference</w:t>
      </w:r>
    </w:p>
    <w:p>
      <w:pPr>
        <w:pStyle w:val="126"/>
        <w:rPr>
          <w:rFonts w:ascii="Times New Roman" w:hAnsi="Times New Roman" w:cs="Times New Roman"/>
          <w:sz w:val="20"/>
          <w:szCs w:val="20"/>
        </w:rPr>
      </w:pPr>
      <w:r>
        <w:rPr>
          <w:rFonts w:ascii="Times New Roman" w:hAnsi="Times New Roman" w:cs="Times New Roman"/>
          <w:sz w:val="20"/>
          <w:szCs w:val="20"/>
        </w:rPr>
        <w:t>RP-201038, WID revision: NR Multicast and Broadcast Services, RAN#88e.</w:t>
      </w:r>
    </w:p>
    <w:p>
      <w:pPr>
        <w:pStyle w:val="126"/>
        <w:rPr>
          <w:rFonts w:ascii="Times New Roman" w:hAnsi="Times New Roman" w:cs="Times New Roman"/>
          <w:sz w:val="20"/>
          <w:szCs w:val="20"/>
        </w:rPr>
      </w:pPr>
      <w:bookmarkStart w:id="31" w:name="OLE_LINK1"/>
      <w:bookmarkStart w:id="32" w:name="OLE_LINK2"/>
      <w:r>
        <w:rPr>
          <w:rFonts w:ascii="Times New Roman" w:hAnsi="Times New Roman" w:cs="Times New Roman"/>
          <w:sz w:val="20"/>
          <w:szCs w:val="20"/>
        </w:rPr>
        <w:t>3GPP RAN1#10</w:t>
      </w:r>
      <w:r>
        <w:rPr>
          <w:rFonts w:hint="eastAsia" w:ascii="Times New Roman" w:hAnsi="Times New Roman" w:cs="Times New Roman"/>
          <w:sz w:val="20"/>
          <w:szCs w:val="20"/>
        </w:rPr>
        <w:t>6</w:t>
      </w:r>
      <w:r>
        <w:rPr>
          <w:rFonts w:ascii="Times New Roman" w:hAnsi="Times New Roman" w:cs="Times New Roman"/>
          <w:sz w:val="20"/>
          <w:szCs w:val="20"/>
        </w:rPr>
        <w:t>-e, Chairman’s notes.</w:t>
      </w:r>
    </w:p>
    <w:p>
      <w:pPr>
        <w:pStyle w:val="126"/>
        <w:rPr>
          <w:szCs w:val="20"/>
        </w:rPr>
      </w:pPr>
      <w:bookmarkStart w:id="33" w:name="OLE_LINK33"/>
      <w:r>
        <w:rPr>
          <w:rFonts w:ascii="Times New Roman" w:hAnsi="Times New Roman" w:cs="Times New Roman"/>
          <w:sz w:val="20"/>
          <w:szCs w:val="20"/>
        </w:rPr>
        <w:t>R1-210</w:t>
      </w:r>
      <w:r>
        <w:rPr>
          <w:rFonts w:ascii="Times New Roman" w:hAnsi="Times New Roman" w:cs="Times New Roman"/>
          <w:sz w:val="20"/>
          <w:szCs w:val="20"/>
          <w:lang w:eastAsia="ko-KR"/>
        </w:rPr>
        <w:t>6912</w:t>
      </w:r>
      <w:r>
        <w:rPr>
          <w:rFonts w:ascii="Times New Roman" w:hAnsi="Times New Roman" w:cs="Times New Roman"/>
          <w:sz w:val="20"/>
          <w:szCs w:val="20"/>
        </w:rPr>
        <w:t xml:space="preserve">, Support of group scheduling for RRC_CONNECTED UEs, Samsung. </w:t>
      </w:r>
    </w:p>
    <w:p>
      <w:pPr>
        <w:pStyle w:val="126"/>
        <w:rPr>
          <w:rFonts w:ascii="Times New Roman" w:hAnsi="Times New Roman" w:eastAsia="宋体" w:cs="Times New Roman"/>
          <w:sz w:val="20"/>
          <w:szCs w:val="20"/>
        </w:rPr>
      </w:pPr>
      <w:r>
        <w:rPr>
          <w:rFonts w:ascii="Times New Roman" w:hAnsi="Times New Roman" w:eastAsia="宋体" w:cs="Times New Roman"/>
          <w:sz w:val="20"/>
          <w:szCs w:val="20"/>
        </w:rPr>
        <w:t>3GPP RAN#93-e, Meeting report.</w:t>
      </w:r>
    </w:p>
    <w:p>
      <w:pPr>
        <w:pStyle w:val="126"/>
        <w:rPr>
          <w:rFonts w:ascii="Times New Roman" w:hAnsi="Times New Roman" w:cs="Times New Roman"/>
          <w:sz w:val="20"/>
          <w:szCs w:val="20"/>
        </w:rPr>
      </w:pPr>
      <w:r>
        <w:rPr>
          <w:rFonts w:ascii="Times New Roman" w:hAnsi="Times New Roman" w:eastAsia="宋体" w:cs="Times New Roman"/>
          <w:sz w:val="20"/>
          <w:szCs w:val="20"/>
        </w:rPr>
        <w:t>R1-2105914, Mechanisms to support MBS group scheduling for RRC_CONNECTED UEs, Ericsson.</w:t>
      </w:r>
    </w:p>
    <w:p>
      <w:pPr>
        <w:pStyle w:val="126"/>
        <w:rPr>
          <w:rFonts w:ascii="Times New Roman" w:hAnsi="Times New Roman" w:cs="Times New Roman"/>
          <w:sz w:val="20"/>
          <w:szCs w:val="20"/>
        </w:rPr>
      </w:pPr>
      <w:r>
        <w:rPr>
          <w:rFonts w:ascii="Times New Roman" w:hAnsi="Times New Roman" w:cs="Times New Roman"/>
          <w:sz w:val="20"/>
          <w:szCs w:val="20"/>
        </w:rPr>
        <w:t>3GPP RAN1#104-e, Chairman’s notes.</w:t>
      </w:r>
    </w:p>
    <w:bookmarkEnd w:id="31"/>
    <w:bookmarkEnd w:id="33"/>
    <w:p>
      <w:pPr>
        <w:pStyle w:val="126"/>
        <w:rPr>
          <w:rFonts w:ascii="Times New Roman" w:hAnsi="Times New Roman" w:cs="Times New Roman"/>
          <w:sz w:val="20"/>
          <w:szCs w:val="20"/>
        </w:rPr>
      </w:pPr>
      <w:r>
        <w:rPr>
          <w:rFonts w:ascii="Times New Roman" w:hAnsi="Times New Roman" w:cs="Times New Roman"/>
          <w:sz w:val="20"/>
          <w:szCs w:val="20"/>
        </w:rPr>
        <w:t>3GPP RAN1#104b-e, Chairman’s notes.</w:t>
      </w:r>
    </w:p>
    <w:bookmarkEnd w:id="32"/>
    <w:p>
      <w:pPr>
        <w:pStyle w:val="126"/>
        <w:rPr>
          <w:szCs w:val="20"/>
        </w:rPr>
      </w:pPr>
      <w:r>
        <w:rPr>
          <w:rFonts w:ascii="Times New Roman" w:hAnsi="Times New Roman" w:cs="Times New Roman"/>
          <w:sz w:val="20"/>
          <w:szCs w:val="20"/>
        </w:rPr>
        <w:t>3GPP RAN1#105-e, Chairman’s notes.</w:t>
      </w:r>
      <w:bookmarkStart w:id="34" w:name="_GoBack"/>
      <w:bookmarkEnd w:id="34"/>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D12EFF"/>
    <w:multiLevelType w:val="singleLevel"/>
    <w:tmpl w:val="B9D12EFF"/>
    <w:lvl w:ilvl="0" w:tentative="0">
      <w:start w:val="1"/>
      <w:numFmt w:val="bullet"/>
      <w:lvlText w:val="−"/>
      <w:lvlJc w:val="left"/>
      <w:pPr>
        <w:ind w:left="420" w:hanging="420"/>
      </w:pPr>
      <w:rPr>
        <w:rFonts w:hint="default" w:ascii="Arial" w:hAnsi="Arial" w:cs="Arial"/>
      </w:rPr>
    </w:lvl>
  </w:abstractNum>
  <w:abstractNum w:abstractNumId="1">
    <w:nsid w:val="C0E51AD3"/>
    <w:multiLevelType w:val="singleLevel"/>
    <w:tmpl w:val="C0E51AD3"/>
    <w:lvl w:ilvl="0" w:tentative="0">
      <w:start w:val="1"/>
      <w:numFmt w:val="bullet"/>
      <w:lvlText w:val="•"/>
      <w:lvlJc w:val="left"/>
      <w:pPr>
        <w:ind w:left="420" w:hanging="420"/>
      </w:pPr>
      <w:rPr>
        <w:rFonts w:hint="default" w:ascii="Arial" w:hAnsi="Arial" w:cs="Arial"/>
      </w:rPr>
    </w:lvl>
  </w:abstractNum>
  <w:abstractNum w:abstractNumId="2">
    <w:nsid w:val="058C7979"/>
    <w:multiLevelType w:val="multilevel"/>
    <w:tmpl w:val="058C79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F50184"/>
    <w:multiLevelType w:val="multilevel"/>
    <w:tmpl w:val="07F501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12C95117"/>
    <w:multiLevelType w:val="multilevel"/>
    <w:tmpl w:val="12C951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1932E41"/>
    <w:multiLevelType w:val="multilevel"/>
    <w:tmpl w:val="21932E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4A32F45"/>
    <w:multiLevelType w:val="multilevel"/>
    <w:tmpl w:val="24A32F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9">
    <w:nsid w:val="2F5B737E"/>
    <w:multiLevelType w:val="multilevel"/>
    <w:tmpl w:val="2F5B737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66025CE"/>
    <w:multiLevelType w:val="singleLevel"/>
    <w:tmpl w:val="366025CE"/>
    <w:lvl w:ilvl="0" w:tentative="0">
      <w:start w:val="1"/>
      <w:numFmt w:val="bullet"/>
      <w:lvlText w:val=""/>
      <w:lvlJc w:val="left"/>
      <w:pPr>
        <w:tabs>
          <w:tab w:val="left" w:pos="840"/>
        </w:tabs>
        <w:ind w:left="1260" w:hanging="420"/>
      </w:pPr>
      <w:rPr>
        <w:rFonts w:hint="default" w:ascii="Wingdings" w:hAnsi="Wingdings"/>
      </w:rPr>
    </w:lvl>
  </w:abstractNum>
  <w:abstractNum w:abstractNumId="12">
    <w:nsid w:val="376606F1"/>
    <w:multiLevelType w:val="multilevel"/>
    <w:tmpl w:val="376606F1"/>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4">
    <w:nsid w:val="4E8CB99D"/>
    <w:multiLevelType w:val="singleLevel"/>
    <w:tmpl w:val="4E8CB99D"/>
    <w:lvl w:ilvl="0" w:tentative="0">
      <w:start w:val="1"/>
      <w:numFmt w:val="bullet"/>
      <w:lvlText w:val="−"/>
      <w:lvlJc w:val="left"/>
      <w:pPr>
        <w:ind w:left="420" w:hanging="420"/>
      </w:pPr>
      <w:rPr>
        <w:rFonts w:hint="default" w:ascii="Arial" w:hAnsi="Arial" w:cs="Arial"/>
      </w:rPr>
    </w:lvl>
  </w:abstractNum>
  <w:abstractNum w:abstractNumId="15">
    <w:nsid w:val="5FA76572"/>
    <w:multiLevelType w:val="multilevel"/>
    <w:tmpl w:val="5FA765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0270F9A"/>
    <w:multiLevelType w:val="multilevel"/>
    <w:tmpl w:val="60270F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B3D51AE"/>
    <w:multiLevelType w:val="multilevel"/>
    <w:tmpl w:val="6B3D51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15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2B71828"/>
    <w:multiLevelType w:val="multilevel"/>
    <w:tmpl w:val="72B718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4006C77"/>
    <w:multiLevelType w:val="multilevel"/>
    <w:tmpl w:val="74006C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F541065"/>
    <w:multiLevelType w:val="multilevel"/>
    <w:tmpl w:val="7F5410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8"/>
  </w:num>
  <w:num w:numId="3">
    <w:abstractNumId w:val="18"/>
  </w:num>
  <w:num w:numId="4">
    <w:abstractNumId w:val="13"/>
  </w:num>
  <w:num w:numId="5">
    <w:abstractNumId w:val="24"/>
  </w:num>
  <w:num w:numId="6">
    <w:abstractNumId w:val="17"/>
  </w:num>
  <w:num w:numId="7">
    <w:abstractNumId w:val="10"/>
  </w:num>
  <w:num w:numId="8">
    <w:abstractNumId w:val="23"/>
  </w:num>
  <w:num w:numId="9">
    <w:abstractNumId w:val="20"/>
  </w:num>
  <w:num w:numId="10">
    <w:abstractNumId w:val="21"/>
  </w:num>
  <w:num w:numId="11">
    <w:abstractNumId w:val="9"/>
  </w:num>
  <w:num w:numId="12">
    <w:abstractNumId w:val="16"/>
  </w:num>
  <w:num w:numId="13">
    <w:abstractNumId w:val="12"/>
  </w:num>
  <w:num w:numId="14">
    <w:abstractNumId w:val="6"/>
  </w:num>
  <w:num w:numId="15">
    <w:abstractNumId w:val="5"/>
  </w:num>
  <w:num w:numId="16">
    <w:abstractNumId w:val="14"/>
  </w:num>
  <w:num w:numId="17">
    <w:abstractNumId w:val="7"/>
  </w:num>
  <w:num w:numId="18">
    <w:abstractNumId w:val="1"/>
  </w:num>
  <w:num w:numId="19">
    <w:abstractNumId w:val="3"/>
  </w:num>
  <w:num w:numId="20">
    <w:abstractNumId w:val="11"/>
  </w:num>
  <w:num w:numId="21">
    <w:abstractNumId w:val="19"/>
  </w:num>
  <w:num w:numId="22">
    <w:abstractNumId w:val="0"/>
  </w:num>
  <w:num w:numId="23">
    <w:abstractNumId w:val="22"/>
  </w:num>
  <w:num w:numId="24">
    <w:abstractNumId w:val="15"/>
  </w:num>
  <w:num w:numId="25">
    <w:abstractNumId w:val="2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ED"/>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299"/>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841"/>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715"/>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79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2"/>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240"/>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235"/>
    <w:rsid w:val="001738A5"/>
    <w:rsid w:val="00173A00"/>
    <w:rsid w:val="00173B14"/>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7B"/>
    <w:rsid w:val="001D6796"/>
    <w:rsid w:val="001D6E61"/>
    <w:rsid w:val="001D6F30"/>
    <w:rsid w:val="001D7260"/>
    <w:rsid w:val="001D7419"/>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701"/>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C40"/>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BDB"/>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BC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16B"/>
    <w:rsid w:val="002B453B"/>
    <w:rsid w:val="002B4C39"/>
    <w:rsid w:val="002B567F"/>
    <w:rsid w:val="002B601A"/>
    <w:rsid w:val="002B61F1"/>
    <w:rsid w:val="002B64FE"/>
    <w:rsid w:val="002B694E"/>
    <w:rsid w:val="002B6D31"/>
    <w:rsid w:val="002B70A2"/>
    <w:rsid w:val="002B7134"/>
    <w:rsid w:val="002B7688"/>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734"/>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1AD"/>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44F"/>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A52"/>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6A9"/>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C7"/>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D86"/>
    <w:rsid w:val="00494E75"/>
    <w:rsid w:val="00495071"/>
    <w:rsid w:val="004961DB"/>
    <w:rsid w:val="0049653E"/>
    <w:rsid w:val="00496BEF"/>
    <w:rsid w:val="00496D90"/>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12"/>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3E0"/>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E6"/>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6F98"/>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3DB8"/>
    <w:rsid w:val="005D46E9"/>
    <w:rsid w:val="005D5012"/>
    <w:rsid w:val="005D5B70"/>
    <w:rsid w:val="005D5E46"/>
    <w:rsid w:val="005D609E"/>
    <w:rsid w:val="005D6427"/>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91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541"/>
    <w:rsid w:val="00624B23"/>
    <w:rsid w:val="00624C2C"/>
    <w:rsid w:val="00624C6E"/>
    <w:rsid w:val="00624FB3"/>
    <w:rsid w:val="00624FF1"/>
    <w:rsid w:val="00625494"/>
    <w:rsid w:val="0062587D"/>
    <w:rsid w:val="00625B24"/>
    <w:rsid w:val="0062657C"/>
    <w:rsid w:val="00626869"/>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0A81"/>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44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E64"/>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E1"/>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A6B"/>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023"/>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301"/>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3BD"/>
    <w:rsid w:val="00855CA7"/>
    <w:rsid w:val="00855D30"/>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9B3"/>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D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1FB"/>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08"/>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122"/>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79"/>
    <w:rsid w:val="00A179CC"/>
    <w:rsid w:val="00A17FA0"/>
    <w:rsid w:val="00A20232"/>
    <w:rsid w:val="00A205BF"/>
    <w:rsid w:val="00A205D4"/>
    <w:rsid w:val="00A20D59"/>
    <w:rsid w:val="00A20E24"/>
    <w:rsid w:val="00A2104B"/>
    <w:rsid w:val="00A210E9"/>
    <w:rsid w:val="00A214CD"/>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5A"/>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5D6"/>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4A7"/>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3FBC"/>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79F"/>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669"/>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C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A1D"/>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A53"/>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AEE"/>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D8"/>
    <w:rsid w:val="00D14204"/>
    <w:rsid w:val="00D14728"/>
    <w:rsid w:val="00D1478F"/>
    <w:rsid w:val="00D14BEC"/>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09"/>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A95"/>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3B5"/>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A2E"/>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02B"/>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51C"/>
    <w:rsid w:val="00DE6634"/>
    <w:rsid w:val="00DE67AE"/>
    <w:rsid w:val="00DE72A5"/>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6EBF"/>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7DB"/>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6AC"/>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329"/>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4F"/>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24B"/>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54D"/>
    <w:rsid w:val="00F15CF3"/>
    <w:rsid w:val="00F15F83"/>
    <w:rsid w:val="00F160CF"/>
    <w:rsid w:val="00F165FF"/>
    <w:rsid w:val="00F1675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722"/>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979"/>
    <w:rsid w:val="00F90BE4"/>
    <w:rsid w:val="00F90C86"/>
    <w:rsid w:val="00F90CDA"/>
    <w:rsid w:val="00F90F6C"/>
    <w:rsid w:val="00F90FD6"/>
    <w:rsid w:val="00F910E4"/>
    <w:rsid w:val="00F915AB"/>
    <w:rsid w:val="00F9174D"/>
    <w:rsid w:val="00F91906"/>
    <w:rsid w:val="00F91932"/>
    <w:rsid w:val="00F91CA2"/>
    <w:rsid w:val="00F91CEE"/>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3FA"/>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126"/>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1CE16FC"/>
    <w:rsid w:val="022B6851"/>
    <w:rsid w:val="024C3C00"/>
    <w:rsid w:val="0284643E"/>
    <w:rsid w:val="035233C4"/>
    <w:rsid w:val="03532C3F"/>
    <w:rsid w:val="039A6A0A"/>
    <w:rsid w:val="03B25C4C"/>
    <w:rsid w:val="03E437CC"/>
    <w:rsid w:val="03F30D80"/>
    <w:rsid w:val="03F94E83"/>
    <w:rsid w:val="03FC4856"/>
    <w:rsid w:val="042D1283"/>
    <w:rsid w:val="04A20E41"/>
    <w:rsid w:val="04BB4899"/>
    <w:rsid w:val="067D4C1C"/>
    <w:rsid w:val="06B127E5"/>
    <w:rsid w:val="070F3FD4"/>
    <w:rsid w:val="072F2729"/>
    <w:rsid w:val="07414615"/>
    <w:rsid w:val="07B333A2"/>
    <w:rsid w:val="07C21FA9"/>
    <w:rsid w:val="07EE3059"/>
    <w:rsid w:val="09484AF3"/>
    <w:rsid w:val="0957797D"/>
    <w:rsid w:val="0972706B"/>
    <w:rsid w:val="09C21BB6"/>
    <w:rsid w:val="0A867EAB"/>
    <w:rsid w:val="0AFC60B7"/>
    <w:rsid w:val="0B4B377E"/>
    <w:rsid w:val="0B514FB9"/>
    <w:rsid w:val="0B747BC3"/>
    <w:rsid w:val="0B98395B"/>
    <w:rsid w:val="0BAD7041"/>
    <w:rsid w:val="0BB7752A"/>
    <w:rsid w:val="0C6F5654"/>
    <w:rsid w:val="0C977AD2"/>
    <w:rsid w:val="0D132BA9"/>
    <w:rsid w:val="0D205DCE"/>
    <w:rsid w:val="0D660AC2"/>
    <w:rsid w:val="0D672BF6"/>
    <w:rsid w:val="0DB26FF1"/>
    <w:rsid w:val="0DE7074D"/>
    <w:rsid w:val="0DF11070"/>
    <w:rsid w:val="0E0306D9"/>
    <w:rsid w:val="0E120AD5"/>
    <w:rsid w:val="0EB06FFE"/>
    <w:rsid w:val="0F2763FC"/>
    <w:rsid w:val="0F3206B3"/>
    <w:rsid w:val="0FD56021"/>
    <w:rsid w:val="100F384D"/>
    <w:rsid w:val="10150A41"/>
    <w:rsid w:val="1081223B"/>
    <w:rsid w:val="10F10608"/>
    <w:rsid w:val="11164EA6"/>
    <w:rsid w:val="122307BA"/>
    <w:rsid w:val="1257267A"/>
    <w:rsid w:val="128B56E2"/>
    <w:rsid w:val="12922AC5"/>
    <w:rsid w:val="12A472D8"/>
    <w:rsid w:val="12FE321B"/>
    <w:rsid w:val="130859B8"/>
    <w:rsid w:val="1334448E"/>
    <w:rsid w:val="13520893"/>
    <w:rsid w:val="135F44B9"/>
    <w:rsid w:val="137C5C5A"/>
    <w:rsid w:val="13B85489"/>
    <w:rsid w:val="13DD7F80"/>
    <w:rsid w:val="13FE54BA"/>
    <w:rsid w:val="14130C89"/>
    <w:rsid w:val="141F2191"/>
    <w:rsid w:val="14C026FB"/>
    <w:rsid w:val="1575AEB2"/>
    <w:rsid w:val="161727E9"/>
    <w:rsid w:val="164F7F6D"/>
    <w:rsid w:val="165E068A"/>
    <w:rsid w:val="16B43599"/>
    <w:rsid w:val="1702D3F2"/>
    <w:rsid w:val="18004A28"/>
    <w:rsid w:val="188D2058"/>
    <w:rsid w:val="18BA7603"/>
    <w:rsid w:val="18FB1712"/>
    <w:rsid w:val="18FD3F86"/>
    <w:rsid w:val="192B740B"/>
    <w:rsid w:val="19393790"/>
    <w:rsid w:val="19497C62"/>
    <w:rsid w:val="1A514204"/>
    <w:rsid w:val="1A73258E"/>
    <w:rsid w:val="1ABB612C"/>
    <w:rsid w:val="1ABC3048"/>
    <w:rsid w:val="1B2E6DC7"/>
    <w:rsid w:val="1B5316CE"/>
    <w:rsid w:val="1B5B6846"/>
    <w:rsid w:val="1B5E59D2"/>
    <w:rsid w:val="1C766428"/>
    <w:rsid w:val="1CC62ECF"/>
    <w:rsid w:val="1CD72E2F"/>
    <w:rsid w:val="1CF04EA4"/>
    <w:rsid w:val="1DD50930"/>
    <w:rsid w:val="1DF407BB"/>
    <w:rsid w:val="1E20214A"/>
    <w:rsid w:val="1E38003B"/>
    <w:rsid w:val="1EEA5326"/>
    <w:rsid w:val="1F850095"/>
    <w:rsid w:val="1FB15761"/>
    <w:rsid w:val="1FB91CD0"/>
    <w:rsid w:val="20910CB1"/>
    <w:rsid w:val="20CD42FE"/>
    <w:rsid w:val="21035A99"/>
    <w:rsid w:val="21282288"/>
    <w:rsid w:val="21932D0C"/>
    <w:rsid w:val="22414886"/>
    <w:rsid w:val="2299208A"/>
    <w:rsid w:val="22F56CAE"/>
    <w:rsid w:val="233B7A0C"/>
    <w:rsid w:val="23680C07"/>
    <w:rsid w:val="23993500"/>
    <w:rsid w:val="239E142D"/>
    <w:rsid w:val="23DF4E8F"/>
    <w:rsid w:val="245870DE"/>
    <w:rsid w:val="246447BE"/>
    <w:rsid w:val="247247A7"/>
    <w:rsid w:val="2473146A"/>
    <w:rsid w:val="250766AB"/>
    <w:rsid w:val="26735A19"/>
    <w:rsid w:val="26D47A7B"/>
    <w:rsid w:val="2711118C"/>
    <w:rsid w:val="274C02A8"/>
    <w:rsid w:val="27C5366D"/>
    <w:rsid w:val="27DD67CA"/>
    <w:rsid w:val="281C14AA"/>
    <w:rsid w:val="28690808"/>
    <w:rsid w:val="28B07E55"/>
    <w:rsid w:val="28B54AA2"/>
    <w:rsid w:val="28D96A7B"/>
    <w:rsid w:val="28E57E0E"/>
    <w:rsid w:val="28F06E0A"/>
    <w:rsid w:val="294D6347"/>
    <w:rsid w:val="29510553"/>
    <w:rsid w:val="2A0F0B23"/>
    <w:rsid w:val="2A2F579D"/>
    <w:rsid w:val="2AFE2B7E"/>
    <w:rsid w:val="2BE60507"/>
    <w:rsid w:val="2C1E2154"/>
    <w:rsid w:val="2C683D03"/>
    <w:rsid w:val="2D242A8D"/>
    <w:rsid w:val="2D376513"/>
    <w:rsid w:val="2DC863F1"/>
    <w:rsid w:val="2E592F81"/>
    <w:rsid w:val="2E7E68ED"/>
    <w:rsid w:val="2EB72406"/>
    <w:rsid w:val="2F1F6638"/>
    <w:rsid w:val="2F2367DE"/>
    <w:rsid w:val="2FBC4A23"/>
    <w:rsid w:val="2FC535D7"/>
    <w:rsid w:val="31542D3B"/>
    <w:rsid w:val="315D227A"/>
    <w:rsid w:val="317600C8"/>
    <w:rsid w:val="32261D2F"/>
    <w:rsid w:val="327E18A1"/>
    <w:rsid w:val="32832752"/>
    <w:rsid w:val="32FE23BF"/>
    <w:rsid w:val="330E6893"/>
    <w:rsid w:val="33805350"/>
    <w:rsid w:val="33DE0CB9"/>
    <w:rsid w:val="344D5F9B"/>
    <w:rsid w:val="34F617A9"/>
    <w:rsid w:val="3511129D"/>
    <w:rsid w:val="359455FE"/>
    <w:rsid w:val="36CD07B0"/>
    <w:rsid w:val="375C57D7"/>
    <w:rsid w:val="37610D00"/>
    <w:rsid w:val="37DD651E"/>
    <w:rsid w:val="38154A53"/>
    <w:rsid w:val="38BA113F"/>
    <w:rsid w:val="39180E5C"/>
    <w:rsid w:val="3A135075"/>
    <w:rsid w:val="3A6D6B2C"/>
    <w:rsid w:val="3A8424B5"/>
    <w:rsid w:val="3AB31D0C"/>
    <w:rsid w:val="3B1A6964"/>
    <w:rsid w:val="3B4A3B53"/>
    <w:rsid w:val="3B76561F"/>
    <w:rsid w:val="3B9A507A"/>
    <w:rsid w:val="3B9B5875"/>
    <w:rsid w:val="3BF47021"/>
    <w:rsid w:val="3C292D1A"/>
    <w:rsid w:val="3C3E35E4"/>
    <w:rsid w:val="3C923082"/>
    <w:rsid w:val="3CFC6B8F"/>
    <w:rsid w:val="3D0354C7"/>
    <w:rsid w:val="3D6E4B6D"/>
    <w:rsid w:val="3D7642C9"/>
    <w:rsid w:val="3D7D25A6"/>
    <w:rsid w:val="3DA0018E"/>
    <w:rsid w:val="3DDA6D42"/>
    <w:rsid w:val="3E7347F4"/>
    <w:rsid w:val="3EF83C43"/>
    <w:rsid w:val="3F01664D"/>
    <w:rsid w:val="3F175FC8"/>
    <w:rsid w:val="3F81729A"/>
    <w:rsid w:val="3F8C7142"/>
    <w:rsid w:val="3FD010A5"/>
    <w:rsid w:val="4067447F"/>
    <w:rsid w:val="407F33BD"/>
    <w:rsid w:val="40850DCD"/>
    <w:rsid w:val="41AC1D9C"/>
    <w:rsid w:val="41C9070F"/>
    <w:rsid w:val="422B1071"/>
    <w:rsid w:val="424140A2"/>
    <w:rsid w:val="4242619A"/>
    <w:rsid w:val="42454C6B"/>
    <w:rsid w:val="4290064C"/>
    <w:rsid w:val="42B20782"/>
    <w:rsid w:val="432F1642"/>
    <w:rsid w:val="43575827"/>
    <w:rsid w:val="43643FD1"/>
    <w:rsid w:val="43AE3949"/>
    <w:rsid w:val="43B77A21"/>
    <w:rsid w:val="44014F41"/>
    <w:rsid w:val="440B31F8"/>
    <w:rsid w:val="44917C93"/>
    <w:rsid w:val="44E87D69"/>
    <w:rsid w:val="44F77BEE"/>
    <w:rsid w:val="46123122"/>
    <w:rsid w:val="46D41E44"/>
    <w:rsid w:val="47AE2F53"/>
    <w:rsid w:val="48425D75"/>
    <w:rsid w:val="49446ABC"/>
    <w:rsid w:val="496938E0"/>
    <w:rsid w:val="49882B35"/>
    <w:rsid w:val="4B120494"/>
    <w:rsid w:val="4B1E2932"/>
    <w:rsid w:val="4B24544E"/>
    <w:rsid w:val="4B3872E6"/>
    <w:rsid w:val="4B423231"/>
    <w:rsid w:val="4B7C4028"/>
    <w:rsid w:val="4CA149AE"/>
    <w:rsid w:val="4CF9131C"/>
    <w:rsid w:val="4DF51404"/>
    <w:rsid w:val="4E410606"/>
    <w:rsid w:val="4E5633F4"/>
    <w:rsid w:val="4E755485"/>
    <w:rsid w:val="4E7740D9"/>
    <w:rsid w:val="4EAC0AFF"/>
    <w:rsid w:val="4EC2021D"/>
    <w:rsid w:val="4EDB1E3A"/>
    <w:rsid w:val="4F0224EB"/>
    <w:rsid w:val="4F4D031E"/>
    <w:rsid w:val="4FE804F1"/>
    <w:rsid w:val="4FFB0902"/>
    <w:rsid w:val="504B445D"/>
    <w:rsid w:val="50673AD6"/>
    <w:rsid w:val="50681BF9"/>
    <w:rsid w:val="506E6368"/>
    <w:rsid w:val="50AC52E5"/>
    <w:rsid w:val="50FD13B2"/>
    <w:rsid w:val="512500DF"/>
    <w:rsid w:val="51296909"/>
    <w:rsid w:val="51F64F85"/>
    <w:rsid w:val="52FE30BB"/>
    <w:rsid w:val="53206CFD"/>
    <w:rsid w:val="536E79E7"/>
    <w:rsid w:val="54CE2507"/>
    <w:rsid w:val="54DC5FC1"/>
    <w:rsid w:val="54EA76D3"/>
    <w:rsid w:val="55181CD2"/>
    <w:rsid w:val="557F6788"/>
    <w:rsid w:val="55D01D97"/>
    <w:rsid w:val="56002DC1"/>
    <w:rsid w:val="5688047C"/>
    <w:rsid w:val="57244B18"/>
    <w:rsid w:val="57CC6BBF"/>
    <w:rsid w:val="57D00C5F"/>
    <w:rsid w:val="57EF6871"/>
    <w:rsid w:val="58240039"/>
    <w:rsid w:val="58CC33AD"/>
    <w:rsid w:val="595A121E"/>
    <w:rsid w:val="5965185A"/>
    <w:rsid w:val="59C75644"/>
    <w:rsid w:val="5AD85FF5"/>
    <w:rsid w:val="5AE605FA"/>
    <w:rsid w:val="5AF07FF7"/>
    <w:rsid w:val="5AF422E5"/>
    <w:rsid w:val="5B180224"/>
    <w:rsid w:val="5BC11B2A"/>
    <w:rsid w:val="5BF26431"/>
    <w:rsid w:val="5BFF39D0"/>
    <w:rsid w:val="5C2B00CA"/>
    <w:rsid w:val="5C777573"/>
    <w:rsid w:val="5C9B198F"/>
    <w:rsid w:val="5DD132F2"/>
    <w:rsid w:val="5E184F1F"/>
    <w:rsid w:val="5E780DEA"/>
    <w:rsid w:val="5F024C5C"/>
    <w:rsid w:val="5F631FA8"/>
    <w:rsid w:val="5FF34385"/>
    <w:rsid w:val="5FF55C23"/>
    <w:rsid w:val="601F362B"/>
    <w:rsid w:val="60550BA5"/>
    <w:rsid w:val="609C33D4"/>
    <w:rsid w:val="60B12DFA"/>
    <w:rsid w:val="60F317DF"/>
    <w:rsid w:val="60FB021F"/>
    <w:rsid w:val="616F1118"/>
    <w:rsid w:val="6171389F"/>
    <w:rsid w:val="619B0632"/>
    <w:rsid w:val="61BE6D02"/>
    <w:rsid w:val="61DE6FFA"/>
    <w:rsid w:val="62314DFF"/>
    <w:rsid w:val="62597828"/>
    <w:rsid w:val="6326540B"/>
    <w:rsid w:val="637074EC"/>
    <w:rsid w:val="63F07D9D"/>
    <w:rsid w:val="64C93F97"/>
    <w:rsid w:val="64E624A4"/>
    <w:rsid w:val="65507243"/>
    <w:rsid w:val="65576B9C"/>
    <w:rsid w:val="656027FF"/>
    <w:rsid w:val="657C4175"/>
    <w:rsid w:val="65C65D6E"/>
    <w:rsid w:val="65CD3F29"/>
    <w:rsid w:val="66457E51"/>
    <w:rsid w:val="664A2ACC"/>
    <w:rsid w:val="667C770F"/>
    <w:rsid w:val="6680376E"/>
    <w:rsid w:val="66ED31EA"/>
    <w:rsid w:val="67110971"/>
    <w:rsid w:val="676C22D8"/>
    <w:rsid w:val="679F4FED"/>
    <w:rsid w:val="67A4578C"/>
    <w:rsid w:val="680133C6"/>
    <w:rsid w:val="68FB6C90"/>
    <w:rsid w:val="68FF4D66"/>
    <w:rsid w:val="690C3EE6"/>
    <w:rsid w:val="691A3243"/>
    <w:rsid w:val="69227366"/>
    <w:rsid w:val="696C42BB"/>
    <w:rsid w:val="698A6B0F"/>
    <w:rsid w:val="69D65ED7"/>
    <w:rsid w:val="6A4D1C3E"/>
    <w:rsid w:val="6A782EAA"/>
    <w:rsid w:val="6AAC450E"/>
    <w:rsid w:val="6AD77215"/>
    <w:rsid w:val="6AF21C9B"/>
    <w:rsid w:val="6B6348AC"/>
    <w:rsid w:val="6B704279"/>
    <w:rsid w:val="6C05408D"/>
    <w:rsid w:val="6C11095F"/>
    <w:rsid w:val="6C325AF0"/>
    <w:rsid w:val="6D020EA1"/>
    <w:rsid w:val="6D207890"/>
    <w:rsid w:val="6D7D4FBF"/>
    <w:rsid w:val="6D95296D"/>
    <w:rsid w:val="6E0F1211"/>
    <w:rsid w:val="6E672028"/>
    <w:rsid w:val="6E6C2E29"/>
    <w:rsid w:val="6FBD0858"/>
    <w:rsid w:val="70386785"/>
    <w:rsid w:val="70D63E03"/>
    <w:rsid w:val="718A57AB"/>
    <w:rsid w:val="71E82A3A"/>
    <w:rsid w:val="71F075C9"/>
    <w:rsid w:val="72E1752D"/>
    <w:rsid w:val="72FD71CD"/>
    <w:rsid w:val="73195994"/>
    <w:rsid w:val="73A015C2"/>
    <w:rsid w:val="73A913CF"/>
    <w:rsid w:val="73EB1497"/>
    <w:rsid w:val="74000A47"/>
    <w:rsid w:val="745B5A32"/>
    <w:rsid w:val="74885606"/>
    <w:rsid w:val="74996569"/>
    <w:rsid w:val="751115BE"/>
    <w:rsid w:val="754550E4"/>
    <w:rsid w:val="75740E00"/>
    <w:rsid w:val="758528D1"/>
    <w:rsid w:val="75BA583A"/>
    <w:rsid w:val="762D1855"/>
    <w:rsid w:val="763A080C"/>
    <w:rsid w:val="76EB5B39"/>
    <w:rsid w:val="776F4F23"/>
    <w:rsid w:val="78075408"/>
    <w:rsid w:val="78156E78"/>
    <w:rsid w:val="782D5EAF"/>
    <w:rsid w:val="786302A1"/>
    <w:rsid w:val="789F1175"/>
    <w:rsid w:val="7931734A"/>
    <w:rsid w:val="7A4054EB"/>
    <w:rsid w:val="7A611C1A"/>
    <w:rsid w:val="7ADB38D4"/>
    <w:rsid w:val="7D3679B4"/>
    <w:rsid w:val="7DAC4BDB"/>
    <w:rsid w:val="7DD2691C"/>
    <w:rsid w:val="7E334680"/>
    <w:rsid w:val="7E3563A1"/>
    <w:rsid w:val="7E9326F9"/>
    <w:rsid w:val="7E9B1B3F"/>
    <w:rsid w:val="7EC32ACA"/>
    <w:rsid w:val="7EE20452"/>
    <w:rsid w:val="7F020DE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1" w:hanging="431"/>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cstheme="minorBidi"/>
      <w:kern w:val="2"/>
      <w:sz w:val="36"/>
      <w:szCs w:val="22"/>
      <w:lang w:val="en-GB" w:eastAsia="en-US"/>
    </w:rPr>
  </w:style>
  <w:style w:type="character" w:customStyle="1" w:styleId="105">
    <w:name w:val="标题 2 Char"/>
    <w:link w:val="3"/>
    <w:qFormat/>
    <w:uiPriority w:val="0"/>
    <w:rPr>
      <w:rFonts w:ascii="Arial" w:hAnsi="Arial" w:cstheme="minorBidi"/>
      <w:kern w:val="2"/>
      <w:sz w:val="32"/>
      <w:szCs w:val="22"/>
      <w:lang w:val="en-GB" w:eastAsia="en-US"/>
    </w:rPr>
  </w:style>
  <w:style w:type="character" w:customStyle="1" w:styleId="106">
    <w:name w:val="标题 3 Char"/>
    <w:link w:val="4"/>
    <w:qFormat/>
    <w:uiPriority w:val="0"/>
    <w:rPr>
      <w:rFonts w:ascii="Arial" w:hAnsi="Arial" w:cstheme="minorBidi"/>
      <w:kern w:val="2"/>
      <w:sz w:val="28"/>
      <w:szCs w:val="22"/>
      <w:lang w:val="en-GB" w:eastAsia="en-US"/>
    </w:rPr>
  </w:style>
  <w:style w:type="character" w:customStyle="1" w:styleId="107">
    <w:name w:val="标题 4 Char"/>
    <w:link w:val="5"/>
    <w:qFormat/>
    <w:uiPriority w:val="0"/>
    <w:rPr>
      <w:rFonts w:ascii="Arial" w:hAnsi="Arial" w:cstheme="minorBidi"/>
      <w:kern w:val="2"/>
      <w:sz w:val="24"/>
      <w:szCs w:val="22"/>
      <w:lang w:val="en-GB" w:eastAsia="en-US"/>
    </w:rPr>
  </w:style>
  <w:style w:type="character" w:customStyle="1" w:styleId="108">
    <w:name w:val="标题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
    <w:qFormat/>
    <w:uiPriority w:val="99"/>
    <w:pPr>
      <w:numPr>
        <w:ilvl w:val="0"/>
        <w:numId w:val="9"/>
      </w:numPr>
      <w:tabs>
        <w:tab w:val="left" w:pos="1619"/>
      </w:tabs>
      <w:spacing w:before="60"/>
      <w:ind w:left="1616" w:hanging="357"/>
    </w:pPr>
    <w:rPr>
      <w:b/>
    </w:rPr>
  </w:style>
  <w:style w:type="paragraph" w:customStyle="1" w:styleId="159">
    <w:name w:val="Doc-text2"/>
    <w:basedOn w:val="1"/>
    <w:qFormat/>
    <w:uiPriority w:val="0"/>
    <w:pPr>
      <w:tabs>
        <w:tab w:val="left" w:pos="1622"/>
      </w:tabs>
      <w:ind w:left="1622" w:hanging="363"/>
    </w:pPr>
  </w:style>
  <w:style w:type="paragraph" w:customStyle="1" w:styleId="160">
    <w:name w:val="b1"/>
    <w:basedOn w:val="1"/>
    <w:qFormat/>
    <w:uiPriority w:val="0"/>
    <w:pPr>
      <w:spacing w:before="100" w:beforeAutospacing="1" w:after="100" w:afterAutospacing="1"/>
    </w:pPr>
    <w:rPr>
      <w:rFonts w:eastAsia="Times New Roman"/>
      <w:sz w:val="24"/>
      <w:szCs w:val="24"/>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1.vsd"/><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4.bin"/><Relationship Id="rId14" Type="http://schemas.openxmlformats.org/officeDocument/2006/relationships/image" Target="media/image4.png"/><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052C4-E8B5-44CA-97DB-9274AA64048E}">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8016</Words>
  <Characters>45693</Characters>
  <Lines>380</Lines>
  <Paragraphs>107</Paragraphs>
  <TotalTime>2</TotalTime>
  <ScaleCrop>false</ScaleCrop>
  <LinksUpToDate>false</LinksUpToDate>
  <CharactersWithSpaces>53602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2021-09-27T07:26:00Z</dcterms:created>
  <dc:creator>ZTE Corporation</dc:creator>
  <cp:lastModifiedBy>Liuxing</cp:lastModifiedBy>
  <cp:lastPrinted>2018-04-07T03:05:00Z</cp:lastPrinted>
  <dcterms:modified xsi:type="dcterms:W3CDTF">2021-09-29T03:16:07Z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